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B1" w:rsidRDefault="00A9260C" w:rsidP="00596A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Подпрограмма </w:t>
      </w:r>
    </w:p>
    <w:p w:rsidR="00A9260C" w:rsidRDefault="00A9260C" w:rsidP="00596A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надзора за объектами трубопроводного транспорта Сибирского управления </w:t>
      </w:r>
      <w:r w:rsidRPr="008648E4">
        <w:rPr>
          <w:rFonts w:ascii="Times New Roman" w:hAnsi="Times New Roman" w:cs="Times New Roman"/>
          <w:b/>
          <w:sz w:val="28"/>
          <w:szCs w:val="28"/>
        </w:rPr>
        <w:t>Федеральной службы по экологическому, технологическому и атомному надзору профилактики нарушений обязательных требований на 20</w:t>
      </w:r>
      <w:r w:rsidR="0078161C">
        <w:rPr>
          <w:rFonts w:ascii="Times New Roman" w:hAnsi="Times New Roman" w:cs="Times New Roman"/>
          <w:b/>
          <w:sz w:val="28"/>
          <w:szCs w:val="28"/>
        </w:rPr>
        <w:t>2</w:t>
      </w:r>
      <w:r w:rsidR="00596AB1">
        <w:rPr>
          <w:rFonts w:ascii="Times New Roman" w:hAnsi="Times New Roman" w:cs="Times New Roman"/>
          <w:b/>
          <w:sz w:val="28"/>
          <w:szCs w:val="28"/>
        </w:rPr>
        <w:t>1</w:t>
      </w:r>
      <w:r w:rsidRPr="008648E4">
        <w:rPr>
          <w:rFonts w:ascii="Times New Roman" w:hAnsi="Times New Roman" w:cs="Times New Roman"/>
          <w:b/>
          <w:sz w:val="28"/>
          <w:szCs w:val="28"/>
        </w:rPr>
        <w:t xml:space="preserve"> год</w:t>
      </w:r>
    </w:p>
    <w:p w:rsidR="001308F0" w:rsidRPr="000A2A0A" w:rsidRDefault="000A2A0A" w:rsidP="000A2A0A">
      <w:pPr>
        <w:pStyle w:val="ConsPlusTitle"/>
        <w:spacing w:before="240" w:after="240" w:line="360" w:lineRule="auto"/>
        <w:jc w:val="center"/>
        <w:outlineLvl w:val="1"/>
        <w:rPr>
          <w:szCs w:val="28"/>
        </w:rPr>
      </w:pPr>
      <w:r w:rsidRPr="000A2A0A">
        <w:rPr>
          <w:szCs w:val="28"/>
        </w:rPr>
        <w:t>I. ОБЩИЕ ПОЛОЖЕНИЯ</w:t>
      </w:r>
    </w:p>
    <w:p w:rsidR="0078161C" w:rsidRPr="0078161C" w:rsidRDefault="0078161C" w:rsidP="00596AB1">
      <w:pPr>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Подпрограмма отдела профилактики нарушений обязательных требований на 202</w:t>
      </w:r>
      <w:r w:rsidR="00596AB1">
        <w:rPr>
          <w:rFonts w:ascii="Times New Roman" w:eastAsia="Calibri" w:hAnsi="Times New Roman" w:cs="Times New Roman"/>
          <w:sz w:val="28"/>
          <w:szCs w:val="28"/>
          <w:lang w:eastAsia="ru-RU"/>
        </w:rPr>
        <w:t>1</w:t>
      </w:r>
      <w:r w:rsidRPr="0078161C">
        <w:rPr>
          <w:rFonts w:ascii="Times New Roman" w:eastAsia="Calibri" w:hAnsi="Times New Roman" w:cs="Times New Roman"/>
          <w:sz w:val="28"/>
          <w:szCs w:val="28"/>
          <w:lang w:eastAsia="ru-RU"/>
        </w:rPr>
        <w:t xml:space="preserve"> год (далее - Подпрограмма) разработана в соответствии с Порядком организации работ по профилактике нарушений обязательных требований, утв. приказом Федеральной службы по экологическому, технологическому и атомному надзору № 447 от 21.11.2019</w:t>
      </w:r>
      <w:r w:rsidR="00596AB1">
        <w:rPr>
          <w:rFonts w:ascii="Times New Roman" w:eastAsia="Calibri" w:hAnsi="Times New Roman" w:cs="Times New Roman"/>
          <w:sz w:val="28"/>
          <w:szCs w:val="28"/>
          <w:lang w:eastAsia="ru-RU"/>
        </w:rPr>
        <w:t>.</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2. Подпрограмма разработана в целях реализации положений:</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 Постановления правительства Российской Федерации от 26 декабря  2018 г. № 1680 «Об утверждении общих требований к организации и осуществлению органами государственного контроля мероприятий по профилактики нарушений обязательных требований, установленных муниципальными правовыми актами».</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 xml:space="preserve">- Постановления Правительства Российской Федерации от 17 августа  2016 г. № 806 «О применении </w:t>
      </w:r>
      <w:proofErr w:type="gramStart"/>
      <w:r w:rsidRPr="0078161C">
        <w:rPr>
          <w:rFonts w:ascii="Times New Roman" w:eastAsia="Calibri" w:hAnsi="Times New Roman" w:cs="Times New Roman"/>
          <w:sz w:val="28"/>
          <w:szCs w:val="28"/>
          <w:lang w:eastAsia="ru-RU"/>
        </w:rPr>
        <w:t>риск-ориентированного</w:t>
      </w:r>
      <w:proofErr w:type="gramEnd"/>
      <w:r w:rsidRPr="0078161C">
        <w:rPr>
          <w:rFonts w:ascii="Times New Roman" w:eastAsia="Calibri" w:hAnsi="Times New Roman" w:cs="Times New Roman"/>
          <w:sz w:val="28"/>
          <w:szCs w:val="28"/>
          <w:lang w:eastAsia="ru-RU"/>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Профилактика нарушений обязательных требований – это системно организованная деятельность Ростехнадзора по комплексной реализации мер организационного, информационного, правового, социального и иного характера, направленных на достижение следующих основных целей:</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1)</w:t>
      </w:r>
      <w:r w:rsidRPr="0078161C">
        <w:rPr>
          <w:rFonts w:ascii="Times New Roman" w:eastAsia="Calibri" w:hAnsi="Times New Roman" w:cs="Times New Roman"/>
          <w:sz w:val="28"/>
          <w:szCs w:val="28"/>
          <w:lang w:eastAsia="ru-RU"/>
        </w:rPr>
        <w:tab/>
        <w:t>снижение аварийности и травматизма на поднадзорных объектах;</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lastRenderedPageBreak/>
        <w:t>2)</w:t>
      </w:r>
      <w:r w:rsidRPr="0078161C">
        <w:rPr>
          <w:rFonts w:ascii="Times New Roman" w:eastAsia="Calibri" w:hAnsi="Times New Roman" w:cs="Times New Roman"/>
          <w:sz w:val="28"/>
          <w:szCs w:val="28"/>
          <w:lang w:eastAsia="ru-RU"/>
        </w:rPr>
        <w:tab/>
        <w:t>предупреждение нарушений подконтрольными субъектами обязательных требований, устранение причин, факторов и условий, способствующих возможному нарушению обязательных требований;</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3)</w:t>
      </w:r>
      <w:r w:rsidRPr="0078161C">
        <w:rPr>
          <w:rFonts w:ascii="Times New Roman" w:eastAsia="Calibri" w:hAnsi="Times New Roman" w:cs="Times New Roman"/>
          <w:sz w:val="28"/>
          <w:szCs w:val="28"/>
          <w:lang w:eastAsia="ru-RU"/>
        </w:rPr>
        <w:tab/>
        <w:t>создания мотивации к добросовестному поведению и как следствие, снижение уровня ущерба;</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4)</w:t>
      </w:r>
      <w:r w:rsidRPr="0078161C">
        <w:rPr>
          <w:rFonts w:ascii="Times New Roman" w:eastAsia="Calibri" w:hAnsi="Times New Roman" w:cs="Times New Roman"/>
          <w:sz w:val="28"/>
          <w:szCs w:val="28"/>
          <w:lang w:eastAsia="ru-RU"/>
        </w:rPr>
        <w:tab/>
        <w:t>повышения культуры безопасности жизнедеятельности;</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5)</w:t>
      </w:r>
      <w:r w:rsidRPr="0078161C">
        <w:rPr>
          <w:rFonts w:ascii="Times New Roman" w:eastAsia="Calibri" w:hAnsi="Times New Roman" w:cs="Times New Roman"/>
          <w:sz w:val="28"/>
          <w:szCs w:val="28"/>
          <w:lang w:eastAsia="ru-RU"/>
        </w:rPr>
        <w:tab/>
        <w:t>снижение административной нагрузки на подконтрольные субъекты;</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6)</w:t>
      </w:r>
      <w:r w:rsidRPr="0078161C">
        <w:rPr>
          <w:rFonts w:ascii="Times New Roman" w:eastAsia="Calibri" w:hAnsi="Times New Roman" w:cs="Times New Roman"/>
          <w:sz w:val="28"/>
          <w:szCs w:val="28"/>
          <w:lang w:eastAsia="ru-RU"/>
        </w:rPr>
        <w:tab/>
        <w:t>повышение прозрачности системы контрольно-надзорной деятельности;</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7)</w:t>
      </w:r>
      <w:r w:rsidRPr="0078161C">
        <w:rPr>
          <w:rFonts w:ascii="Times New Roman" w:eastAsia="Calibri" w:hAnsi="Times New Roman" w:cs="Times New Roman"/>
          <w:sz w:val="28"/>
          <w:szCs w:val="28"/>
          <w:lang w:eastAsia="ru-RU"/>
        </w:rPr>
        <w:tab/>
        <w:t xml:space="preserve">внедрение </w:t>
      </w:r>
      <w:proofErr w:type="gramStart"/>
      <w:r w:rsidRPr="0078161C">
        <w:rPr>
          <w:rFonts w:ascii="Times New Roman" w:eastAsia="Calibri" w:hAnsi="Times New Roman" w:cs="Times New Roman"/>
          <w:sz w:val="28"/>
          <w:szCs w:val="28"/>
          <w:lang w:eastAsia="ru-RU"/>
        </w:rPr>
        <w:t>риск-ориентированного</w:t>
      </w:r>
      <w:proofErr w:type="gramEnd"/>
      <w:r w:rsidRPr="0078161C">
        <w:rPr>
          <w:rFonts w:ascii="Times New Roman" w:eastAsia="Calibri" w:hAnsi="Times New Roman" w:cs="Times New Roman"/>
          <w:sz w:val="28"/>
          <w:szCs w:val="28"/>
          <w:lang w:eastAsia="ru-RU"/>
        </w:rPr>
        <w:t xml:space="preserve"> подхода;</w:t>
      </w:r>
    </w:p>
    <w:p w:rsidR="0078161C" w:rsidRPr="0078161C" w:rsidRDefault="0078161C" w:rsidP="00596AB1">
      <w:pPr>
        <w:autoSpaceDE w:val="0"/>
        <w:autoSpaceDN w:val="0"/>
        <w:spacing w:after="0" w:line="360" w:lineRule="auto"/>
        <w:ind w:firstLine="709"/>
        <w:jc w:val="both"/>
        <w:rPr>
          <w:rFonts w:ascii="Times New Roman" w:eastAsia="Calibri" w:hAnsi="Times New Roman" w:cs="Times New Roman"/>
          <w:sz w:val="28"/>
          <w:szCs w:val="28"/>
          <w:lang w:eastAsia="ru-RU"/>
        </w:rPr>
      </w:pPr>
      <w:r w:rsidRPr="0078161C">
        <w:rPr>
          <w:rFonts w:ascii="Times New Roman" w:eastAsia="Calibri" w:hAnsi="Times New Roman" w:cs="Times New Roman"/>
          <w:sz w:val="28"/>
          <w:szCs w:val="28"/>
          <w:lang w:eastAsia="ru-RU"/>
        </w:rPr>
        <w:t>8)</w:t>
      </w:r>
      <w:r w:rsidRPr="0078161C">
        <w:rPr>
          <w:rFonts w:ascii="Times New Roman" w:eastAsia="Calibri" w:hAnsi="Times New Roman" w:cs="Times New Roman"/>
          <w:sz w:val="28"/>
          <w:szCs w:val="28"/>
          <w:lang w:eastAsia="ru-RU"/>
        </w:rPr>
        <w:tab/>
        <w:t>снижение издержек как контрольно-надзорных органов, так и подконтрольных субъектов по сравнению с ведением контрольно-надзорной деятельности исключительно путем проведения контрольно-надзорных мероприятий.</w:t>
      </w:r>
    </w:p>
    <w:p w:rsidR="0078161C" w:rsidRPr="0078161C" w:rsidRDefault="0078161C" w:rsidP="00596AB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Проведение профилактических мероприятий в отношении поднадзорных организаций направлено на решение следующих задач:</w:t>
      </w:r>
    </w:p>
    <w:p w:rsidR="0078161C" w:rsidRPr="0078161C" w:rsidRDefault="0078161C" w:rsidP="00596AB1">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инвентаризация подконтрольных объектов, присвоение им уровня риска (класса опасности);</w:t>
      </w:r>
    </w:p>
    <w:p w:rsidR="0078161C" w:rsidRPr="0078161C" w:rsidRDefault="0078161C" w:rsidP="00596AB1">
      <w:pPr>
        <w:widowControl w:val="0"/>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78161C">
        <w:rPr>
          <w:rFonts w:ascii="Times New Roman" w:eastAsia="Times New Roman" w:hAnsi="Times New Roman" w:cs="Times New Roman"/>
          <w:sz w:val="28"/>
          <w:szCs w:val="28"/>
          <w:lang w:eastAsia="ru-RU"/>
        </w:rPr>
        <w:t xml:space="preserve">- </w:t>
      </w:r>
      <w:r w:rsidRPr="0078161C">
        <w:rPr>
          <w:rFonts w:ascii="Times New Roman" w:eastAsia="Times New Roman" w:hAnsi="Times New Roman" w:cs="Times New Roman"/>
          <w:color w:val="000000"/>
          <w:sz w:val="28"/>
          <w:szCs w:val="28"/>
          <w:lang w:eastAsia="ru-RU"/>
        </w:rPr>
        <w:t xml:space="preserve">выявление причин, факторов и условий, способствующих нарушению обязательных требований, определение способов устранения или снижения </w:t>
      </w:r>
      <w:r w:rsidRPr="0078161C">
        <w:rPr>
          <w:rFonts w:ascii="Times New Roman" w:eastAsia="Times New Roman" w:hAnsi="Times New Roman" w:cs="Times New Roman"/>
          <w:color w:val="000000"/>
          <w:sz w:val="28"/>
          <w:szCs w:val="28"/>
          <w:lang w:eastAsia="ru-RU"/>
        </w:rPr>
        <w:br/>
        <w:t>рисков их возникновения;</w:t>
      </w:r>
    </w:p>
    <w:p w:rsidR="0078161C" w:rsidRPr="0078161C" w:rsidRDefault="0078161C" w:rsidP="00596AB1">
      <w:pPr>
        <w:widowControl w:val="0"/>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78161C">
        <w:rPr>
          <w:rFonts w:ascii="Times New Roman" w:eastAsia="Times New Roman" w:hAnsi="Times New Roman" w:cs="Times New Roman"/>
          <w:color w:val="000000"/>
          <w:sz w:val="28"/>
          <w:szCs w:val="28"/>
          <w:lang w:eastAsia="ru-RU"/>
        </w:rPr>
        <w:t>- установление зависимости видов, форм и интенсивности профилактических мероприятий от признаков, характерных для подконтрольных субъектов (объектов) и присвоенного им уровня риска (класса опасности);</w:t>
      </w:r>
    </w:p>
    <w:p w:rsidR="001308F0" w:rsidRDefault="00454FE4" w:rsidP="00596AB1">
      <w:pPr>
        <w:pStyle w:val="ConsPlusTitle"/>
        <w:spacing w:line="360" w:lineRule="auto"/>
        <w:ind w:firstLine="709"/>
        <w:jc w:val="center"/>
        <w:outlineLvl w:val="1"/>
      </w:pPr>
      <w:r w:rsidRPr="00454FE4">
        <w:t>II. АНАЛИЗ ТЕКУЩЕГО СОСТОЯНИЯ ПОДКОНТРОЛЬНОЙ СРЕДЫ</w:t>
      </w:r>
    </w:p>
    <w:p w:rsidR="001308F0" w:rsidRPr="00454FE4" w:rsidRDefault="00C92737" w:rsidP="00596AB1">
      <w:pPr>
        <w:pStyle w:val="ConsPlusNormal"/>
        <w:spacing w:line="360" w:lineRule="auto"/>
        <w:ind w:firstLine="709"/>
        <w:jc w:val="center"/>
        <w:rPr>
          <w:b/>
        </w:rPr>
      </w:pPr>
      <w:r w:rsidRPr="00454FE4">
        <w:rPr>
          <w:b/>
        </w:rPr>
        <w:t>Описание видов и типов подконтрольных объектов (субъектов)</w:t>
      </w:r>
    </w:p>
    <w:p w:rsidR="00914A5F" w:rsidRPr="00AA72A9" w:rsidRDefault="00A9260C" w:rsidP="00596AB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Государственные гражданские служащие </w:t>
      </w:r>
      <w:r w:rsidR="00914A5F" w:rsidRPr="00AA72A9">
        <w:rPr>
          <w:rFonts w:ascii="Times New Roman" w:eastAsia="Times New Roman" w:hAnsi="Times New Roman" w:cs="Times New Roman"/>
          <w:sz w:val="28"/>
          <w:szCs w:val="28"/>
          <w:lang w:eastAsia="ru-RU"/>
        </w:rPr>
        <w:t>Сибирского управления Ростехнадзора</w:t>
      </w:r>
      <w:r w:rsidR="00535C2F">
        <w:rPr>
          <w:rFonts w:ascii="Times New Roman" w:eastAsia="Times New Roman" w:hAnsi="Times New Roman" w:cs="Times New Roman"/>
          <w:sz w:val="28"/>
          <w:szCs w:val="28"/>
          <w:lang w:eastAsia="ru-RU"/>
        </w:rPr>
        <w:t xml:space="preserve"> (МТ)</w:t>
      </w:r>
      <w:r w:rsidR="00914A5F" w:rsidRPr="00AA72A9">
        <w:rPr>
          <w:rFonts w:ascii="Times New Roman" w:eastAsia="Times New Roman" w:hAnsi="Times New Roman" w:cs="Times New Roman"/>
          <w:sz w:val="28"/>
          <w:szCs w:val="28"/>
          <w:lang w:eastAsia="ru-RU"/>
        </w:rPr>
        <w:t xml:space="preserve"> осуществля</w:t>
      </w:r>
      <w:r>
        <w:rPr>
          <w:rFonts w:ascii="Times New Roman" w:eastAsia="Times New Roman" w:hAnsi="Times New Roman" w:cs="Times New Roman"/>
          <w:sz w:val="28"/>
          <w:szCs w:val="28"/>
          <w:lang w:eastAsia="ru-RU"/>
        </w:rPr>
        <w:t>ю</w:t>
      </w:r>
      <w:r w:rsidR="00914A5F" w:rsidRPr="00AA72A9">
        <w:rPr>
          <w:rFonts w:ascii="Times New Roman" w:eastAsia="Times New Roman" w:hAnsi="Times New Roman" w:cs="Times New Roman"/>
          <w:sz w:val="28"/>
          <w:szCs w:val="28"/>
          <w:lang w:eastAsia="ru-RU"/>
        </w:rPr>
        <w:t xml:space="preserve">т надзор за опасными производственными объектами магистрального трубопроводного транспорта, эксплуатируемыми на следующих территориях: </w:t>
      </w:r>
      <w:proofErr w:type="gramStart"/>
      <w:r w:rsidR="00914A5F" w:rsidRPr="00AA72A9">
        <w:rPr>
          <w:rFonts w:ascii="Times New Roman" w:eastAsia="Times New Roman" w:hAnsi="Times New Roman" w:cs="Times New Roman"/>
          <w:sz w:val="28"/>
          <w:szCs w:val="28"/>
          <w:lang w:eastAsia="ru-RU"/>
        </w:rPr>
        <w:t>Омской, Новосибирской, Томской, Тюменской, Кемеровской, Иркутской и Амурской област</w:t>
      </w:r>
      <w:r>
        <w:rPr>
          <w:rFonts w:ascii="Times New Roman" w:eastAsia="Times New Roman" w:hAnsi="Times New Roman" w:cs="Times New Roman"/>
          <w:sz w:val="28"/>
          <w:szCs w:val="28"/>
          <w:lang w:eastAsia="ru-RU"/>
        </w:rPr>
        <w:t>ей</w:t>
      </w:r>
      <w:r w:rsidR="00914A5F" w:rsidRPr="00AA72A9">
        <w:rPr>
          <w:rFonts w:ascii="Times New Roman" w:eastAsia="Times New Roman" w:hAnsi="Times New Roman" w:cs="Times New Roman"/>
          <w:sz w:val="28"/>
          <w:szCs w:val="28"/>
          <w:lang w:eastAsia="ru-RU"/>
        </w:rPr>
        <w:t xml:space="preserve">, Алтайского и Красноярского краёв, Республики САХА (Якутия) и Республики Алтай. </w:t>
      </w:r>
      <w:proofErr w:type="gramEnd"/>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xml:space="preserve">Под надзором отдела 254 ОПО магистрального трубопроводного транспорта: 1 класса - 51 ОПО; 2 класса - 168 ОПО;   3 класса – 18 ОПО; 4 класса – 17 ОПО (АГНКС). </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xml:space="preserve">Общая протяженность поднадзорных отделу систем трубопроводов составляет 17630 км. По назначению магистральные трубопроводы распределяются следующим образом: </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магистральные газопроводы – 5 335 км;</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магистральные нефтепроводы – 11261 км;</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магистральные нефтепродуктопроводы – 1034 км.</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В состав поднадзорных объектов магистрального трубопроводного транспорта входят следующие площадочные объекты:</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- 14 участков магистрального газопровода (1 класса – 11; 3 класса – 3);</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- 17 участков магистрального нефтепровода и нефтепродуктопровода (1 класса – 14; 2 класса –3);</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- 8 газокомпрессорных станций (3 класса);</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- 111 газораспределительных станций (2 класса);</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- 59 площадок магистральных насосных станций нефтепроводов и нефтепродуктопроводов  (1 класса – 17; 2 класса – 38; 3 класса – 4);</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23 резервуарных парка нефти и нефтепродуктов (1 класса – 6; 2 класса – 15;  3 класса – 2);</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- 18 автомобильных газонаполнительных компрессорных станций (3 класса – 1; 4 класса – 17);</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- 4 площадки сливо-наливных эстакад (1 класса – 3; 2 класса – 1).</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lastRenderedPageBreak/>
        <w:t>Эксплуатацию ОПО осуществляет 18 организаций на основании соответствующих лицензий. Наиболее крупные организации осуществляющие эксплуатацию ОПО магистрального трубопроводного транспорта:</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proofErr w:type="gramStart"/>
      <w:r w:rsidRPr="0078161C">
        <w:rPr>
          <w:rFonts w:ascii="Times New Roman" w:eastAsia="Times New Roman" w:hAnsi="Times New Roman" w:cs="Times New Roman"/>
          <w:sz w:val="28"/>
          <w:szCs w:val="28"/>
          <w:lang w:eastAsia="ru-RU"/>
        </w:rPr>
        <w:t xml:space="preserve">- ООО «Газпром </w:t>
      </w:r>
      <w:proofErr w:type="spellStart"/>
      <w:r w:rsidRPr="0078161C">
        <w:rPr>
          <w:rFonts w:ascii="Times New Roman" w:eastAsia="Times New Roman" w:hAnsi="Times New Roman" w:cs="Times New Roman"/>
          <w:sz w:val="28"/>
          <w:szCs w:val="28"/>
          <w:lang w:eastAsia="ru-RU"/>
        </w:rPr>
        <w:t>трансгаз</w:t>
      </w:r>
      <w:proofErr w:type="spellEnd"/>
      <w:r w:rsidRPr="0078161C">
        <w:rPr>
          <w:rFonts w:ascii="Times New Roman" w:eastAsia="Times New Roman" w:hAnsi="Times New Roman" w:cs="Times New Roman"/>
          <w:sz w:val="28"/>
          <w:szCs w:val="28"/>
          <w:lang w:eastAsia="ru-RU"/>
        </w:rPr>
        <w:t xml:space="preserve"> Томск» ПАО «Газпром» (Омская, Новосибирская, Томская, Тюменская, Кемеровская, Иркутская области, Алтайский край и Республики Алтай), осуществляет эксплуатацию 118 ОПО: 10 участков магистрального газопровода (1 класса – 9; 3 класса – 1), 100 ГРС (2 класса) и 8 КС (3 класса);</w:t>
      </w:r>
      <w:proofErr w:type="gramEnd"/>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proofErr w:type="gramStart"/>
      <w:r w:rsidRPr="0078161C">
        <w:rPr>
          <w:rFonts w:ascii="Times New Roman" w:eastAsia="Times New Roman" w:hAnsi="Times New Roman" w:cs="Times New Roman"/>
          <w:sz w:val="28"/>
          <w:szCs w:val="28"/>
          <w:lang w:eastAsia="ru-RU"/>
        </w:rPr>
        <w:t>- АО «Транснефть - Западная Сибирь» ПАО «Транснефть» (Омская, Новосибирская, Тюменская, Кемеровская области и Красноярский край) осуществляет эксплуатацию 38 ОПО: 4 участков магистрального нефтепровода (1 класса), 20 площадок магистральных насосных станций нефтепроводов (1 класса – 5; 2 класса – 13; 3 класса – 2), 6 резервуарных парков нефти (1 класса – 1; 2 класса – 3;</w:t>
      </w:r>
      <w:proofErr w:type="gramEnd"/>
      <w:r w:rsidRPr="0078161C">
        <w:rPr>
          <w:rFonts w:ascii="Times New Roman" w:eastAsia="Times New Roman" w:hAnsi="Times New Roman" w:cs="Times New Roman"/>
          <w:sz w:val="28"/>
          <w:szCs w:val="28"/>
          <w:lang w:eastAsia="ru-RU"/>
        </w:rPr>
        <w:t xml:space="preserve"> 3 класса – 2), 2 участков магистрального продуктопровода (1 класса), 3 площадок магистральных насосных станций продуктопроводов (1 класса – 2; 3 класса – 1), 2 резервуарных парков продуктопроводов (2 класса), 1 площадки сливо-наливной эстакады (1 класса);</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АО «Транснефть - Центральная Сибирь» ПАО «Транснефть»  (Томская, Тюменская и Кемеровская области) осуществляет эксплуатацию12 ОПО: 3-х участков магистрального нефтепровода (1 класса), 6 площадок магистральных насосных станций нефтепроводов (1 класса – 3; 2 класса – 3), 3 резервуарных парков нефти (1 класса);</w:t>
      </w:r>
    </w:p>
    <w:p w:rsidR="0078161C" w:rsidRPr="0078161C" w:rsidRDefault="0078161C" w:rsidP="00596AB1">
      <w:pPr>
        <w:spacing w:after="0" w:line="360" w:lineRule="auto"/>
        <w:ind w:firstLine="709"/>
        <w:jc w:val="both"/>
        <w:rPr>
          <w:rFonts w:ascii="Times New Roman" w:eastAsia="Times New Roman" w:hAnsi="Times New Roman" w:cs="Times New Roman"/>
          <w:sz w:val="28"/>
          <w:szCs w:val="28"/>
          <w:lang w:eastAsia="ru-RU"/>
        </w:rPr>
      </w:pPr>
      <w:r w:rsidRPr="0078161C">
        <w:rPr>
          <w:rFonts w:ascii="Times New Roman" w:eastAsia="Times New Roman" w:hAnsi="Times New Roman" w:cs="Times New Roman"/>
          <w:sz w:val="28"/>
          <w:szCs w:val="28"/>
          <w:lang w:eastAsia="ru-RU"/>
        </w:rPr>
        <w:t>- ООО «Транснефть - Восток» ПАО «Транснефть» (Красноярский край, Иркутская и Амурская области, Республики САХА (Якутия)) осуществляет эксплуатацию 35 ОПО: 3 участков магистрального нефтепровода (1 класса), 24 площадок магистральных насосных станций нефтепроводов (1 класса – 2; 2 класса – 22), 7 резервуарных парков нефти (2 класса), одной площадки сливо-наливной эстакады (2 класса);</w:t>
      </w:r>
    </w:p>
    <w:p w:rsidR="0078161C" w:rsidRPr="0078161C" w:rsidRDefault="0078161C" w:rsidP="00596AB1">
      <w:pPr>
        <w:spacing w:after="0" w:line="360" w:lineRule="auto"/>
        <w:ind w:firstLine="709"/>
        <w:jc w:val="both"/>
        <w:rPr>
          <w:rFonts w:ascii="Times New Roman" w:eastAsia="Times New Roman" w:hAnsi="Times New Roman" w:cs="Times New Roman"/>
          <w:b/>
          <w:sz w:val="28"/>
          <w:szCs w:val="28"/>
          <w:lang w:eastAsia="ru-RU"/>
        </w:rPr>
      </w:pPr>
      <w:r w:rsidRPr="0078161C">
        <w:rPr>
          <w:rFonts w:ascii="Times New Roman" w:eastAsia="Times New Roman" w:hAnsi="Times New Roman" w:cs="Times New Roman"/>
          <w:sz w:val="28"/>
          <w:szCs w:val="28"/>
          <w:lang w:eastAsia="ru-RU"/>
        </w:rPr>
        <w:t>- ООО «РН-</w:t>
      </w:r>
      <w:proofErr w:type="spellStart"/>
      <w:r w:rsidRPr="0078161C">
        <w:rPr>
          <w:rFonts w:ascii="Times New Roman" w:eastAsia="Times New Roman" w:hAnsi="Times New Roman" w:cs="Times New Roman"/>
          <w:sz w:val="28"/>
          <w:szCs w:val="28"/>
          <w:lang w:eastAsia="ru-RU"/>
        </w:rPr>
        <w:t>Ванкор</w:t>
      </w:r>
      <w:proofErr w:type="spellEnd"/>
      <w:r w:rsidRPr="0078161C">
        <w:rPr>
          <w:rFonts w:ascii="Times New Roman" w:eastAsia="Times New Roman" w:hAnsi="Times New Roman" w:cs="Times New Roman"/>
          <w:sz w:val="28"/>
          <w:szCs w:val="28"/>
          <w:lang w:eastAsia="ru-RU"/>
        </w:rPr>
        <w:t xml:space="preserve">» ПАО «Роснефть» (Красноярский край и Тюменская область) осуществляет эксплуатацию 7 ОПО: участка магистрального </w:t>
      </w:r>
      <w:r w:rsidRPr="0078161C">
        <w:rPr>
          <w:rFonts w:ascii="Times New Roman" w:eastAsia="Times New Roman" w:hAnsi="Times New Roman" w:cs="Times New Roman"/>
          <w:sz w:val="28"/>
          <w:szCs w:val="28"/>
          <w:lang w:eastAsia="ru-RU"/>
        </w:rPr>
        <w:lastRenderedPageBreak/>
        <w:t>нефтепровода (1 класса), 4-х площадок магистральных насосных станций нефтепроводов (1 класса), 1 резервуарного парка нефти (1 класса), 1 участка магистрального газопровода (1 класса).</w:t>
      </w:r>
    </w:p>
    <w:p w:rsidR="00C92737" w:rsidRPr="00454FE4" w:rsidRDefault="00454FE4" w:rsidP="00596AB1">
      <w:pPr>
        <w:pStyle w:val="ConsPlusNormal"/>
        <w:spacing w:line="360" w:lineRule="auto"/>
        <w:ind w:firstLine="709"/>
        <w:jc w:val="center"/>
        <w:rPr>
          <w:b/>
        </w:rPr>
      </w:pPr>
      <w:r w:rsidRPr="00454FE4">
        <w:rPr>
          <w:b/>
        </w:rPr>
        <w:t xml:space="preserve">Статистические </w:t>
      </w:r>
      <w:r>
        <w:rPr>
          <w:b/>
        </w:rPr>
        <w:t>показатели подконтрольной среды</w:t>
      </w:r>
    </w:p>
    <w:p w:rsidR="00733AAF" w:rsidRPr="00733AAF" w:rsidRDefault="00733AAF" w:rsidP="00596AB1">
      <w:pPr>
        <w:tabs>
          <w:tab w:val="num" w:pos="72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733AAF">
        <w:rPr>
          <w:rFonts w:ascii="Times New Roman" w:eastAsia="Times New Roman" w:hAnsi="Times New Roman" w:cs="Times New Roman"/>
          <w:sz w:val="28"/>
          <w:szCs w:val="28"/>
          <w:lang w:eastAsia="ru-RU"/>
        </w:rPr>
        <w:t>За 201</w:t>
      </w:r>
      <w:r w:rsidR="0078161C">
        <w:rPr>
          <w:rFonts w:ascii="Times New Roman" w:eastAsia="Times New Roman" w:hAnsi="Times New Roman" w:cs="Times New Roman"/>
          <w:sz w:val="28"/>
          <w:szCs w:val="28"/>
          <w:lang w:eastAsia="ru-RU"/>
        </w:rPr>
        <w:t>9</w:t>
      </w:r>
      <w:r w:rsidRPr="00733AAF">
        <w:rPr>
          <w:rFonts w:ascii="Times New Roman" w:eastAsia="Times New Roman" w:hAnsi="Times New Roman" w:cs="Times New Roman"/>
          <w:sz w:val="28"/>
          <w:szCs w:val="28"/>
          <w:lang w:eastAsia="ru-RU"/>
        </w:rPr>
        <w:t xml:space="preserve"> год на объектах магистрального трубопроводного транспорта, подконтрольных Сибирскому управлению Ростехнадзора, аварий</w:t>
      </w:r>
      <w:r w:rsidR="0078161C">
        <w:rPr>
          <w:rFonts w:ascii="Times New Roman" w:eastAsia="Times New Roman" w:hAnsi="Times New Roman" w:cs="Times New Roman"/>
          <w:sz w:val="28"/>
          <w:szCs w:val="28"/>
          <w:lang w:eastAsia="ru-RU"/>
        </w:rPr>
        <w:t>, инцидентов</w:t>
      </w:r>
      <w:r w:rsidRPr="00733AAF">
        <w:rPr>
          <w:rFonts w:ascii="Times New Roman" w:eastAsia="Times New Roman" w:hAnsi="Times New Roman" w:cs="Times New Roman"/>
          <w:sz w:val="28"/>
          <w:szCs w:val="28"/>
          <w:lang w:eastAsia="ru-RU"/>
        </w:rPr>
        <w:t xml:space="preserve"> и несчастных случаев со смертельным исходом не </w:t>
      </w:r>
      <w:r w:rsidR="0078161C">
        <w:rPr>
          <w:rFonts w:ascii="Times New Roman" w:eastAsia="Times New Roman" w:hAnsi="Times New Roman" w:cs="Times New Roman"/>
          <w:sz w:val="28"/>
          <w:szCs w:val="28"/>
          <w:lang w:eastAsia="ru-RU"/>
        </w:rPr>
        <w:t>произошло</w:t>
      </w:r>
      <w:r w:rsidRPr="00733AAF">
        <w:rPr>
          <w:rFonts w:ascii="Times New Roman" w:eastAsia="Times New Roman" w:hAnsi="Times New Roman" w:cs="Times New Roman"/>
          <w:sz w:val="28"/>
          <w:szCs w:val="28"/>
          <w:lang w:eastAsia="ru-RU"/>
        </w:rPr>
        <w:t>.</w:t>
      </w:r>
      <w:r w:rsidR="0078161C">
        <w:rPr>
          <w:rFonts w:ascii="Times New Roman" w:eastAsia="Times New Roman" w:hAnsi="Times New Roman" w:cs="Times New Roman"/>
          <w:sz w:val="28"/>
          <w:szCs w:val="28"/>
          <w:lang w:eastAsia="ru-RU"/>
        </w:rPr>
        <w:t xml:space="preserve"> В 2018 году </w:t>
      </w:r>
      <w:r w:rsidRPr="00733AAF">
        <w:rPr>
          <w:rFonts w:ascii="Times New Roman" w:eastAsia="Times New Roman" w:hAnsi="Times New Roman" w:cs="Times New Roman"/>
          <w:sz w:val="28"/>
          <w:szCs w:val="28"/>
          <w:lang w:eastAsia="ru-RU"/>
        </w:rPr>
        <w:t xml:space="preserve"> </w:t>
      </w:r>
      <w:r w:rsidR="0078161C">
        <w:rPr>
          <w:rFonts w:ascii="Times New Roman" w:eastAsia="Times New Roman" w:hAnsi="Times New Roman" w:cs="Times New Roman"/>
          <w:sz w:val="28"/>
          <w:szCs w:val="28"/>
          <w:lang w:eastAsia="ru-RU"/>
        </w:rPr>
        <w:t>произошла 1 авария:</w:t>
      </w:r>
    </w:p>
    <w:p w:rsidR="006A7FA7" w:rsidRPr="006A7FA7" w:rsidRDefault="006A7FA7" w:rsidP="00596AB1">
      <w:pPr>
        <w:widowControl w:val="0"/>
        <w:tabs>
          <w:tab w:val="left" w:pos="881"/>
        </w:tabs>
        <w:spacing w:after="0" w:line="360" w:lineRule="auto"/>
        <w:ind w:firstLine="709"/>
        <w:jc w:val="center"/>
        <w:rPr>
          <w:rFonts w:ascii="Times New Roman" w:eastAsia="Times New Roman" w:hAnsi="Times New Roman" w:cs="Times New Roman"/>
          <w:b/>
          <w:sz w:val="28"/>
          <w:szCs w:val="28"/>
          <w:lang w:eastAsia="ru-RU"/>
        </w:rPr>
      </w:pPr>
      <w:r w:rsidRPr="006A7FA7">
        <w:rPr>
          <w:rFonts w:ascii="Times New Roman" w:eastAsia="Times New Roman" w:hAnsi="Times New Roman" w:cs="Times New Roman"/>
          <w:b/>
          <w:sz w:val="28"/>
          <w:szCs w:val="28"/>
          <w:lang w:eastAsia="ru-RU"/>
        </w:rPr>
        <w:t>Текущий уровень развития профилактических мероприятий</w:t>
      </w:r>
    </w:p>
    <w:p w:rsidR="00475864" w:rsidRDefault="002038BE" w:rsidP="00596AB1">
      <w:pPr>
        <w:widowControl w:val="0"/>
        <w:tabs>
          <w:tab w:val="left" w:pos="881"/>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75864">
        <w:rPr>
          <w:rFonts w:ascii="Times New Roman" w:eastAsia="Times New Roman" w:hAnsi="Times New Roman" w:cs="Times New Roman"/>
          <w:sz w:val="28"/>
          <w:szCs w:val="28"/>
          <w:lang w:eastAsia="ru-RU"/>
        </w:rPr>
        <w:t>В 201</w:t>
      </w:r>
      <w:r w:rsidR="0078161C">
        <w:rPr>
          <w:rFonts w:ascii="Times New Roman" w:eastAsia="Times New Roman" w:hAnsi="Times New Roman" w:cs="Times New Roman"/>
          <w:sz w:val="28"/>
          <w:szCs w:val="28"/>
          <w:lang w:eastAsia="ru-RU"/>
        </w:rPr>
        <w:t>9</w:t>
      </w:r>
      <w:r w:rsidR="00475864">
        <w:rPr>
          <w:rFonts w:ascii="Times New Roman" w:eastAsia="Times New Roman" w:hAnsi="Times New Roman" w:cs="Times New Roman"/>
          <w:sz w:val="28"/>
          <w:szCs w:val="28"/>
          <w:lang w:eastAsia="ru-RU"/>
        </w:rPr>
        <w:t xml:space="preserve"> году следующие п</w:t>
      </w:r>
      <w:r w:rsidR="00475864" w:rsidRPr="00475864">
        <w:rPr>
          <w:rFonts w:ascii="Times New Roman" w:eastAsia="Times New Roman" w:hAnsi="Times New Roman" w:cs="Times New Roman"/>
          <w:sz w:val="28"/>
          <w:szCs w:val="28"/>
          <w:lang w:eastAsia="ru-RU"/>
        </w:rPr>
        <w:t>оказатели надзорной и контрольной деятельности</w:t>
      </w:r>
      <w:r w:rsidR="00475864">
        <w:rPr>
          <w:rFonts w:ascii="Times New Roman" w:eastAsia="Times New Roman" w:hAnsi="Times New Roman" w:cs="Times New Roman"/>
          <w:sz w:val="28"/>
          <w:szCs w:val="28"/>
          <w:lang w:eastAsia="ru-RU"/>
        </w:rPr>
        <w:t>:</w:t>
      </w:r>
    </w:p>
    <w:p w:rsidR="002171B0" w:rsidRDefault="00AB33DB" w:rsidP="00596AB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9260C">
        <w:rPr>
          <w:rFonts w:ascii="Times New Roman" w:eastAsia="Times New Roman" w:hAnsi="Times New Roman" w:cs="Times New Roman"/>
          <w:spacing w:val="-1"/>
          <w:sz w:val="28"/>
          <w:szCs w:val="28"/>
          <w:lang w:eastAsia="ru-RU"/>
        </w:rPr>
        <w:t>За 201</w:t>
      </w:r>
      <w:r w:rsidR="0078161C">
        <w:rPr>
          <w:rFonts w:ascii="Times New Roman" w:eastAsia="Times New Roman" w:hAnsi="Times New Roman" w:cs="Times New Roman"/>
          <w:spacing w:val="-1"/>
          <w:sz w:val="28"/>
          <w:szCs w:val="28"/>
          <w:lang w:eastAsia="ru-RU"/>
        </w:rPr>
        <w:t>9</w:t>
      </w:r>
      <w:r w:rsidRPr="00A9260C">
        <w:rPr>
          <w:rFonts w:ascii="Times New Roman" w:eastAsia="Times New Roman" w:hAnsi="Times New Roman" w:cs="Times New Roman"/>
          <w:spacing w:val="-1"/>
          <w:sz w:val="28"/>
          <w:szCs w:val="28"/>
          <w:lang w:eastAsia="ru-RU"/>
        </w:rPr>
        <w:t xml:space="preserve"> год проведено </w:t>
      </w:r>
      <w:r w:rsidR="004B6E60">
        <w:rPr>
          <w:rFonts w:ascii="Times New Roman" w:eastAsia="Times New Roman" w:hAnsi="Times New Roman" w:cs="Times New Roman"/>
          <w:spacing w:val="-1"/>
          <w:sz w:val="28"/>
          <w:szCs w:val="28"/>
          <w:lang w:eastAsia="ru-RU"/>
        </w:rPr>
        <w:t>77</w:t>
      </w:r>
      <w:r w:rsidR="00535C2F" w:rsidRPr="00A9260C">
        <w:rPr>
          <w:rFonts w:ascii="Times New Roman" w:eastAsia="Times New Roman" w:hAnsi="Times New Roman" w:cs="Times New Roman"/>
          <w:spacing w:val="-1"/>
          <w:sz w:val="28"/>
          <w:szCs w:val="28"/>
          <w:lang w:eastAsia="ru-RU"/>
        </w:rPr>
        <w:t xml:space="preserve"> </w:t>
      </w:r>
      <w:r w:rsidRPr="00A9260C">
        <w:rPr>
          <w:rFonts w:ascii="Times New Roman" w:eastAsia="Times New Roman" w:hAnsi="Times New Roman" w:cs="Times New Roman"/>
          <w:sz w:val="28"/>
          <w:szCs w:val="28"/>
          <w:lang w:eastAsia="ru-RU"/>
        </w:rPr>
        <w:t>проверок предприятий, организаций и индивидуальных предпринимателей, эксплуати</w:t>
      </w:r>
      <w:r w:rsidRPr="00A9260C">
        <w:rPr>
          <w:rFonts w:ascii="Times New Roman" w:eastAsia="Times New Roman" w:hAnsi="Times New Roman" w:cs="Times New Roman"/>
          <w:spacing w:val="-1"/>
          <w:sz w:val="28"/>
          <w:szCs w:val="28"/>
          <w:lang w:eastAsia="ru-RU"/>
        </w:rPr>
        <w:t>рующих опасные производственные объекты</w:t>
      </w:r>
      <w:r w:rsidR="004B6E60">
        <w:rPr>
          <w:rFonts w:ascii="Times New Roman" w:eastAsia="Times New Roman" w:hAnsi="Times New Roman" w:cs="Times New Roman"/>
          <w:spacing w:val="-1"/>
          <w:sz w:val="28"/>
          <w:szCs w:val="28"/>
          <w:lang w:eastAsia="ru-RU"/>
        </w:rPr>
        <w:t>.</w:t>
      </w:r>
      <w:r w:rsidRPr="00AB33DB">
        <w:rPr>
          <w:rFonts w:ascii="Times New Roman" w:eastAsia="Times New Roman" w:hAnsi="Times New Roman" w:cs="Times New Roman"/>
          <w:sz w:val="28"/>
          <w:szCs w:val="28"/>
          <w:lang w:eastAsia="ru-RU"/>
        </w:rPr>
        <w:t xml:space="preserve"> </w:t>
      </w:r>
    </w:p>
    <w:p w:rsidR="00AB33DB" w:rsidRPr="00AB33DB" w:rsidRDefault="00AB33DB"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B33DB">
        <w:rPr>
          <w:rFonts w:ascii="Times New Roman" w:eastAsia="Times New Roman" w:hAnsi="Times New Roman" w:cs="Times New Roman"/>
          <w:spacing w:val="-1"/>
          <w:sz w:val="28"/>
          <w:szCs w:val="28"/>
          <w:lang w:eastAsia="ru-RU"/>
        </w:rPr>
        <w:t>В</w:t>
      </w:r>
      <w:r w:rsidRPr="00AB33DB">
        <w:rPr>
          <w:rFonts w:ascii="Times New Roman" w:eastAsia="Times New Roman" w:hAnsi="Times New Roman" w:cs="Times New Roman"/>
          <w:sz w:val="28"/>
          <w:szCs w:val="28"/>
          <w:lang w:eastAsia="ru-RU"/>
        </w:rPr>
        <w:t xml:space="preserve"> ходе проведенных проверок выявлено </w:t>
      </w:r>
      <w:r w:rsidR="004B6E60">
        <w:rPr>
          <w:rFonts w:ascii="Times New Roman" w:eastAsia="Times New Roman" w:hAnsi="Times New Roman" w:cs="Times New Roman"/>
          <w:sz w:val="28"/>
          <w:szCs w:val="28"/>
          <w:lang w:eastAsia="ru-RU"/>
        </w:rPr>
        <w:t>291</w:t>
      </w:r>
      <w:r w:rsidRPr="00AB33DB">
        <w:rPr>
          <w:rFonts w:ascii="Times New Roman" w:eastAsia="Times New Roman" w:hAnsi="Times New Roman" w:cs="Times New Roman"/>
          <w:sz w:val="28"/>
          <w:szCs w:val="28"/>
          <w:lang w:eastAsia="ru-RU"/>
        </w:rPr>
        <w:t xml:space="preserve"> нарушений требований ФЗ, Правил </w:t>
      </w:r>
      <w:r w:rsidRPr="00AB33DB">
        <w:rPr>
          <w:rFonts w:ascii="Times New Roman" w:eastAsia="Times New Roman" w:hAnsi="Times New Roman" w:cs="Times New Roman"/>
          <w:spacing w:val="-1"/>
          <w:sz w:val="28"/>
          <w:szCs w:val="28"/>
          <w:lang w:eastAsia="ru-RU"/>
        </w:rPr>
        <w:t>и Норм.</w:t>
      </w:r>
    </w:p>
    <w:p w:rsidR="00AB33DB" w:rsidRPr="00AB33DB" w:rsidRDefault="00AB33DB" w:rsidP="00596AB1">
      <w:pPr>
        <w:widowControl w:val="0"/>
        <w:tabs>
          <w:tab w:val="left" w:pos="540"/>
          <w:tab w:val="left" w:pos="99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B33DB">
        <w:rPr>
          <w:rFonts w:ascii="Times New Roman" w:eastAsia="Times New Roman" w:hAnsi="Times New Roman" w:cs="Times New Roman"/>
          <w:sz w:val="28"/>
          <w:szCs w:val="28"/>
          <w:lang w:eastAsia="ru-RU"/>
        </w:rPr>
        <w:t xml:space="preserve">По результатам проведенных проверок за </w:t>
      </w:r>
      <w:r w:rsidRPr="00AB33DB">
        <w:rPr>
          <w:rFonts w:ascii="Times New Roman" w:eastAsia="Times New Roman" w:hAnsi="Times New Roman" w:cs="Times New Roman"/>
          <w:spacing w:val="-1"/>
          <w:sz w:val="28"/>
          <w:szCs w:val="28"/>
          <w:lang w:eastAsia="ru-RU"/>
        </w:rPr>
        <w:t>201</w:t>
      </w:r>
      <w:r w:rsidR="002171B0">
        <w:rPr>
          <w:rFonts w:ascii="Times New Roman" w:eastAsia="Times New Roman" w:hAnsi="Times New Roman" w:cs="Times New Roman"/>
          <w:spacing w:val="-1"/>
          <w:sz w:val="28"/>
          <w:szCs w:val="28"/>
          <w:lang w:eastAsia="ru-RU"/>
        </w:rPr>
        <w:t>9</w:t>
      </w:r>
      <w:r w:rsidRPr="00AB33DB">
        <w:rPr>
          <w:rFonts w:ascii="Times New Roman" w:eastAsia="Times New Roman" w:hAnsi="Times New Roman" w:cs="Times New Roman"/>
          <w:spacing w:val="-1"/>
          <w:sz w:val="28"/>
          <w:szCs w:val="28"/>
          <w:lang w:eastAsia="ru-RU"/>
        </w:rPr>
        <w:t xml:space="preserve"> год</w:t>
      </w:r>
      <w:r w:rsidRPr="00AB33DB">
        <w:rPr>
          <w:rFonts w:ascii="Times New Roman" w:eastAsia="Times New Roman" w:hAnsi="Times New Roman" w:cs="Times New Roman"/>
          <w:sz w:val="28"/>
          <w:szCs w:val="28"/>
          <w:lang w:eastAsia="ru-RU"/>
        </w:rPr>
        <w:t>:</w:t>
      </w:r>
    </w:p>
    <w:p w:rsidR="00AB33DB" w:rsidRPr="00AB33DB" w:rsidRDefault="00AB33DB" w:rsidP="00596AB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B33DB">
        <w:rPr>
          <w:rFonts w:ascii="Times New Roman" w:eastAsia="Times New Roman" w:hAnsi="Times New Roman" w:cs="Times New Roman"/>
          <w:sz w:val="28"/>
          <w:szCs w:val="28"/>
          <w:lang w:eastAsia="ru-RU"/>
        </w:rPr>
        <w:t xml:space="preserve">- назначено административных наказаний – </w:t>
      </w:r>
      <w:r w:rsidR="004B6E60">
        <w:rPr>
          <w:rFonts w:ascii="Times New Roman" w:eastAsia="Times New Roman" w:hAnsi="Times New Roman" w:cs="Times New Roman"/>
          <w:sz w:val="28"/>
          <w:szCs w:val="28"/>
          <w:lang w:eastAsia="ru-RU"/>
        </w:rPr>
        <w:t>67</w:t>
      </w:r>
      <w:r w:rsidRPr="00AB33DB">
        <w:rPr>
          <w:rFonts w:ascii="Times New Roman" w:eastAsia="Times New Roman" w:hAnsi="Times New Roman" w:cs="Times New Roman"/>
          <w:sz w:val="28"/>
          <w:szCs w:val="28"/>
          <w:lang w:eastAsia="ru-RU"/>
        </w:rPr>
        <w:t>, в том числе:</w:t>
      </w:r>
    </w:p>
    <w:p w:rsidR="00AB33DB" w:rsidRPr="00AB33DB" w:rsidRDefault="00AB33DB" w:rsidP="00596AB1">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B33DB">
        <w:rPr>
          <w:rFonts w:ascii="Times New Roman" w:eastAsia="Times New Roman" w:hAnsi="Times New Roman" w:cs="Times New Roman"/>
          <w:sz w:val="28"/>
          <w:szCs w:val="28"/>
          <w:lang w:eastAsia="ru-RU"/>
        </w:rPr>
        <w:t xml:space="preserve">Общая сумма наложенных штрафов </w:t>
      </w:r>
      <w:r w:rsidR="004B6E60">
        <w:rPr>
          <w:rFonts w:ascii="Times New Roman" w:eastAsia="Times New Roman" w:hAnsi="Times New Roman" w:cs="Times New Roman"/>
          <w:sz w:val="28"/>
          <w:szCs w:val="28"/>
          <w:lang w:eastAsia="ru-RU"/>
        </w:rPr>
        <w:t>3640,5</w:t>
      </w:r>
      <w:r w:rsidRPr="00AB33DB">
        <w:rPr>
          <w:rFonts w:ascii="Times New Roman" w:eastAsia="Times New Roman" w:hAnsi="Times New Roman" w:cs="Times New Roman"/>
          <w:color w:val="FF0000"/>
          <w:sz w:val="28"/>
          <w:szCs w:val="28"/>
          <w:lang w:eastAsia="ru-RU"/>
        </w:rPr>
        <w:t xml:space="preserve"> </w:t>
      </w:r>
      <w:r w:rsidRPr="00AB33DB">
        <w:rPr>
          <w:rFonts w:ascii="Times New Roman" w:eastAsia="Times New Roman" w:hAnsi="Times New Roman" w:cs="Times New Roman"/>
          <w:sz w:val="28"/>
          <w:szCs w:val="28"/>
          <w:lang w:eastAsia="ru-RU"/>
        </w:rPr>
        <w:t>тыс. руб.</w:t>
      </w:r>
    </w:p>
    <w:p w:rsidR="002038BE" w:rsidRPr="0026062A" w:rsidRDefault="008D7661" w:rsidP="00596AB1">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26062A">
        <w:rPr>
          <w:rFonts w:ascii="Times New Roman" w:hAnsi="Times New Roman" w:cs="Times New Roman"/>
          <w:b/>
          <w:sz w:val="28"/>
          <w:szCs w:val="28"/>
        </w:rPr>
        <w:t xml:space="preserve">Описание </w:t>
      </w:r>
      <w:r w:rsidR="00C246CA" w:rsidRPr="0026062A">
        <w:rPr>
          <w:rFonts w:ascii="Times New Roman" w:hAnsi="Times New Roman" w:cs="Times New Roman"/>
          <w:b/>
          <w:sz w:val="28"/>
          <w:szCs w:val="28"/>
        </w:rPr>
        <w:t xml:space="preserve">основных </w:t>
      </w:r>
      <w:r w:rsidR="00097674" w:rsidRPr="0026062A">
        <w:rPr>
          <w:rFonts w:ascii="Times New Roman" w:hAnsi="Times New Roman" w:cs="Times New Roman"/>
          <w:b/>
          <w:sz w:val="28"/>
          <w:szCs w:val="28"/>
        </w:rPr>
        <w:t>проблем</w:t>
      </w:r>
      <w:r w:rsidRPr="0026062A">
        <w:rPr>
          <w:rFonts w:ascii="Times New Roman" w:hAnsi="Times New Roman" w:cs="Times New Roman"/>
          <w:b/>
          <w:sz w:val="28"/>
          <w:szCs w:val="28"/>
        </w:rPr>
        <w:t xml:space="preserve">, </w:t>
      </w:r>
      <w:r w:rsidR="00097674" w:rsidRPr="0026062A">
        <w:rPr>
          <w:rFonts w:ascii="Times New Roman" w:hAnsi="Times New Roman" w:cs="Times New Roman"/>
          <w:b/>
          <w:sz w:val="28"/>
          <w:szCs w:val="28"/>
        </w:rPr>
        <w:t>которые могут препятствовать реализации</w:t>
      </w:r>
      <w:r w:rsidRPr="0026062A">
        <w:rPr>
          <w:rFonts w:ascii="Times New Roman" w:hAnsi="Times New Roman" w:cs="Times New Roman"/>
          <w:b/>
          <w:sz w:val="28"/>
          <w:szCs w:val="28"/>
        </w:rPr>
        <w:t xml:space="preserve"> </w:t>
      </w:r>
      <w:r w:rsidR="00F10CC7" w:rsidRPr="0026062A">
        <w:rPr>
          <w:rFonts w:ascii="Times New Roman" w:hAnsi="Times New Roman" w:cs="Times New Roman"/>
          <w:b/>
          <w:sz w:val="28"/>
          <w:szCs w:val="28"/>
        </w:rPr>
        <w:t>П</w:t>
      </w:r>
      <w:r w:rsidRPr="0026062A">
        <w:rPr>
          <w:rFonts w:ascii="Times New Roman" w:hAnsi="Times New Roman" w:cs="Times New Roman"/>
          <w:b/>
          <w:sz w:val="28"/>
          <w:szCs w:val="28"/>
        </w:rPr>
        <w:t>рограмм</w:t>
      </w:r>
      <w:r w:rsidR="00097674" w:rsidRPr="0026062A">
        <w:rPr>
          <w:rFonts w:ascii="Times New Roman" w:hAnsi="Times New Roman" w:cs="Times New Roman"/>
          <w:b/>
          <w:sz w:val="28"/>
          <w:szCs w:val="28"/>
        </w:rPr>
        <w:t>ы</w:t>
      </w:r>
    </w:p>
    <w:p w:rsidR="00AB33DB" w:rsidRPr="00AB33DB" w:rsidRDefault="00AB33DB" w:rsidP="00596AB1">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При проведении проверочных мероприятий наиболее часто выявляются следующие нарушения:</w:t>
      </w:r>
    </w:p>
    <w:p w:rsidR="00AB33DB" w:rsidRPr="00AB33DB" w:rsidRDefault="00AB33DB" w:rsidP="00596AB1">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не проведение мероприятий, направленных на продление срока службы оборудования;</w:t>
      </w:r>
    </w:p>
    <w:p w:rsidR="00AB33DB" w:rsidRPr="00AB33DB" w:rsidRDefault="00AB33DB" w:rsidP="00596AB1">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xml:space="preserve">- не соблюдение ограничений установленных для охранных зон газопроводов (устройство свалок, проведение земляных работ без согласования собственниками); </w:t>
      </w:r>
    </w:p>
    <w:p w:rsidR="00AB33DB" w:rsidRPr="00AB33DB" w:rsidRDefault="00AB33DB" w:rsidP="00596AB1">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ведение эксплуатационной документации не в полном объеме;</w:t>
      </w:r>
    </w:p>
    <w:p w:rsidR="00AB33DB" w:rsidRPr="00AB33DB" w:rsidRDefault="00AB33DB" w:rsidP="00596AB1">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lastRenderedPageBreak/>
        <w:t>- эксплуатация не принятого в установленном порядке оборудования и газопроводов;</w:t>
      </w:r>
    </w:p>
    <w:p w:rsidR="001308F0" w:rsidRPr="002038BE" w:rsidRDefault="002038BE" w:rsidP="00596AB1">
      <w:pPr>
        <w:pStyle w:val="ConsPlusTitle"/>
        <w:spacing w:line="360" w:lineRule="auto"/>
        <w:ind w:firstLine="709"/>
        <w:jc w:val="center"/>
        <w:outlineLvl w:val="1"/>
      </w:pPr>
      <w:r w:rsidRPr="002038BE">
        <w:t>III. ЦЕЛИ, ЗАДАЧИ И ПРИНЦИПЫ ПРОВЕДЕНИЯ</w:t>
      </w:r>
    </w:p>
    <w:p w:rsidR="001308F0" w:rsidRPr="002038BE" w:rsidRDefault="002038BE" w:rsidP="00596AB1">
      <w:pPr>
        <w:pStyle w:val="ConsPlusTitle"/>
        <w:spacing w:line="360" w:lineRule="auto"/>
        <w:ind w:firstLine="709"/>
        <w:jc w:val="center"/>
      </w:pPr>
      <w:r w:rsidRPr="002038BE">
        <w:t>ПРОФИЛАКТИЧЕСКИХ МЕРОПРИЯТИЙ</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     По результатам анализа установлено, что основными причинами аварий стали:</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1. Повреждения подземных </w:t>
      </w:r>
      <w:r w:rsidR="00A9260C">
        <w:rPr>
          <w:rFonts w:ascii="Times New Roman" w:eastAsia="Times New Roman" w:hAnsi="Times New Roman" w:cs="Times New Roman"/>
          <w:spacing w:val="-1"/>
          <w:sz w:val="28"/>
          <w:szCs w:val="28"/>
          <w:lang w:eastAsia="ru-RU"/>
        </w:rPr>
        <w:t>трубо</w:t>
      </w:r>
      <w:r w:rsidRPr="00AA72A9">
        <w:rPr>
          <w:rFonts w:ascii="Times New Roman" w:eastAsia="Times New Roman" w:hAnsi="Times New Roman" w:cs="Times New Roman"/>
          <w:spacing w:val="-1"/>
          <w:sz w:val="28"/>
          <w:szCs w:val="28"/>
          <w:lang w:eastAsia="ru-RU"/>
        </w:rPr>
        <w:t xml:space="preserve">проводов </w:t>
      </w:r>
      <w:proofErr w:type="gramStart"/>
      <w:r w:rsidRPr="00AA72A9">
        <w:rPr>
          <w:rFonts w:ascii="Times New Roman" w:eastAsia="Times New Roman" w:hAnsi="Times New Roman" w:cs="Times New Roman"/>
          <w:spacing w:val="-1"/>
          <w:sz w:val="28"/>
          <w:szCs w:val="28"/>
          <w:lang w:eastAsia="ru-RU"/>
        </w:rPr>
        <w:t>в результате производства земляных работ в охранной зоне в связи с несвоевременным вызовом представителя эксплуатирующей организации на место</w:t>
      </w:r>
      <w:proofErr w:type="gramEnd"/>
      <w:r w:rsidRPr="00AA72A9">
        <w:rPr>
          <w:rFonts w:ascii="Times New Roman" w:eastAsia="Times New Roman" w:hAnsi="Times New Roman" w:cs="Times New Roman"/>
          <w:spacing w:val="-1"/>
          <w:sz w:val="28"/>
          <w:szCs w:val="28"/>
          <w:lang w:eastAsia="ru-RU"/>
        </w:rPr>
        <w:t xml:space="preserve"> и проведения работ по определению месторасположения газопровода </w:t>
      </w:r>
      <w:proofErr w:type="spellStart"/>
      <w:r w:rsidRPr="00AA72A9">
        <w:rPr>
          <w:rFonts w:ascii="Times New Roman" w:eastAsia="Times New Roman" w:hAnsi="Times New Roman" w:cs="Times New Roman"/>
          <w:spacing w:val="-1"/>
          <w:sz w:val="28"/>
          <w:szCs w:val="28"/>
          <w:lang w:eastAsia="ru-RU"/>
        </w:rPr>
        <w:t>шурфовкой</w:t>
      </w:r>
      <w:proofErr w:type="spellEnd"/>
      <w:r w:rsidRPr="00AA72A9">
        <w:rPr>
          <w:rFonts w:ascii="Times New Roman" w:eastAsia="Times New Roman" w:hAnsi="Times New Roman" w:cs="Times New Roman"/>
          <w:spacing w:val="-1"/>
          <w:sz w:val="28"/>
          <w:szCs w:val="28"/>
          <w:lang w:eastAsia="ru-RU"/>
        </w:rPr>
        <w:t xml:space="preserve"> в присутствии представителя эксплуатирующей организации.</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На основании вышеизложенного, необходимо принять меры по усилению контроля за соблюдением требований промышленной безопасности при эксплуатации </w:t>
      </w:r>
      <w:r w:rsidR="00A9260C">
        <w:rPr>
          <w:rFonts w:ascii="Times New Roman" w:eastAsia="Times New Roman" w:hAnsi="Times New Roman" w:cs="Times New Roman"/>
          <w:spacing w:val="-1"/>
          <w:sz w:val="28"/>
          <w:szCs w:val="28"/>
          <w:lang w:eastAsia="ru-RU"/>
        </w:rPr>
        <w:t>объектов магистрального трубопроводного транспорта</w:t>
      </w:r>
      <w:r w:rsidRPr="00AA72A9">
        <w:rPr>
          <w:rFonts w:ascii="Times New Roman" w:eastAsia="Times New Roman" w:hAnsi="Times New Roman" w:cs="Times New Roman"/>
          <w:spacing w:val="-1"/>
          <w:sz w:val="28"/>
          <w:szCs w:val="28"/>
          <w:lang w:eastAsia="ru-RU"/>
        </w:rPr>
        <w:t>, а именно:</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повысить требовательность к готовности аварийно-диспетчерских служб;</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регулярно проводить тренировочные занятия по локализации и ликвидации возможных аварий с отработкой взаимодействия со службами других ведомств;</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пересмотреть и внести необходимые изменения в планы о локализации и ликвидации возможных аварий на объектах</w:t>
      </w:r>
      <w:r w:rsidR="00A9260C">
        <w:rPr>
          <w:rFonts w:ascii="Times New Roman" w:eastAsia="Times New Roman" w:hAnsi="Times New Roman" w:cs="Times New Roman"/>
          <w:spacing w:val="-1"/>
          <w:sz w:val="28"/>
          <w:szCs w:val="28"/>
          <w:lang w:eastAsia="ru-RU"/>
        </w:rPr>
        <w:t xml:space="preserve"> магистрального трубопроводного транспорта</w:t>
      </w:r>
      <w:r w:rsidRPr="00AA72A9">
        <w:rPr>
          <w:rFonts w:ascii="Times New Roman" w:eastAsia="Times New Roman" w:hAnsi="Times New Roman" w:cs="Times New Roman"/>
          <w:spacing w:val="-1"/>
          <w:sz w:val="28"/>
          <w:szCs w:val="28"/>
          <w:lang w:eastAsia="ru-RU"/>
        </w:rPr>
        <w:t>;</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 повысить контроль за проведением строительно-монтажных (в том числе земляных) работ в охранных зонах </w:t>
      </w:r>
      <w:r w:rsidR="002A0C52">
        <w:rPr>
          <w:rFonts w:ascii="Times New Roman" w:eastAsia="Times New Roman" w:hAnsi="Times New Roman" w:cs="Times New Roman"/>
          <w:spacing w:val="-1"/>
          <w:sz w:val="28"/>
          <w:szCs w:val="28"/>
          <w:lang w:eastAsia="ru-RU"/>
        </w:rPr>
        <w:t>трубо</w:t>
      </w:r>
      <w:r w:rsidRPr="00AA72A9">
        <w:rPr>
          <w:rFonts w:ascii="Times New Roman" w:eastAsia="Times New Roman" w:hAnsi="Times New Roman" w:cs="Times New Roman"/>
          <w:spacing w:val="-1"/>
          <w:sz w:val="28"/>
          <w:szCs w:val="28"/>
          <w:lang w:eastAsia="ru-RU"/>
        </w:rPr>
        <w:t xml:space="preserve">проводов с целью предотвращения механических повреждений </w:t>
      </w:r>
      <w:r w:rsidR="00A9260C">
        <w:rPr>
          <w:rFonts w:ascii="Times New Roman" w:eastAsia="Times New Roman" w:hAnsi="Times New Roman" w:cs="Times New Roman"/>
          <w:spacing w:val="-1"/>
          <w:sz w:val="28"/>
          <w:szCs w:val="28"/>
          <w:lang w:eastAsia="ru-RU"/>
        </w:rPr>
        <w:t>трубопро</w:t>
      </w:r>
      <w:r w:rsidRPr="00AA72A9">
        <w:rPr>
          <w:rFonts w:ascii="Times New Roman" w:eastAsia="Times New Roman" w:hAnsi="Times New Roman" w:cs="Times New Roman"/>
          <w:spacing w:val="-1"/>
          <w:sz w:val="28"/>
          <w:szCs w:val="28"/>
          <w:lang w:eastAsia="ru-RU"/>
        </w:rPr>
        <w:t>водов;</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 увеличить количество обходов подземных и надземных </w:t>
      </w:r>
      <w:r w:rsidR="002A0C52">
        <w:rPr>
          <w:rFonts w:ascii="Times New Roman" w:eastAsia="Times New Roman" w:hAnsi="Times New Roman" w:cs="Times New Roman"/>
          <w:spacing w:val="-1"/>
          <w:sz w:val="28"/>
          <w:szCs w:val="28"/>
          <w:lang w:eastAsia="ru-RU"/>
        </w:rPr>
        <w:t>трубо</w:t>
      </w:r>
      <w:r w:rsidRPr="00AA72A9">
        <w:rPr>
          <w:rFonts w:ascii="Times New Roman" w:eastAsia="Times New Roman" w:hAnsi="Times New Roman" w:cs="Times New Roman"/>
          <w:spacing w:val="-1"/>
          <w:sz w:val="28"/>
          <w:szCs w:val="28"/>
          <w:lang w:eastAsia="ru-RU"/>
        </w:rPr>
        <w:t>проводов в месяц для определения мест утечек газа и повреждений технических устройств;</w:t>
      </w:r>
    </w:p>
    <w:p w:rsidR="00AA72A9" w:rsidRPr="00AA72A9" w:rsidRDefault="00AA72A9" w:rsidP="00596AB1">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  не допускать нарушения производственным персоналом  инструкций </w:t>
      </w:r>
      <w:r w:rsidR="00A9260C">
        <w:rPr>
          <w:rFonts w:ascii="Times New Roman" w:eastAsia="Times New Roman" w:hAnsi="Times New Roman" w:cs="Times New Roman"/>
          <w:spacing w:val="-1"/>
          <w:sz w:val="28"/>
          <w:szCs w:val="28"/>
          <w:lang w:eastAsia="ru-RU"/>
        </w:rPr>
        <w:t>по безопасному проведению работ.</w:t>
      </w:r>
    </w:p>
    <w:p w:rsidR="00AA72A9" w:rsidRPr="00AB33DB" w:rsidRDefault="00AA72A9" w:rsidP="00596AB1">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xml:space="preserve">Так же для профилактики нарушений Сибирским управлением </w:t>
      </w:r>
      <w:r w:rsidRPr="00AB33DB">
        <w:rPr>
          <w:rFonts w:ascii="Times New Roman" w:eastAsia="Calibri" w:hAnsi="Times New Roman" w:cs="Times New Roman"/>
          <w:sz w:val="28"/>
          <w:szCs w:val="28"/>
        </w:rPr>
        <w:lastRenderedPageBreak/>
        <w:t>Ростехнадзора проводится информирование поднадзорных организаций об основных, наиболее часто встречающихся нарушениях, выявленных при проверках на объектах путем размещения информации на официальном интернет сайте. Размещение подобного рода информации так же позволяет поднадзорным предприятиям, в отношении которых проверочные мероприятия не проводились, организовать работу по выявлению и устранению подобных нарушений.</w:t>
      </w:r>
    </w:p>
    <w:p w:rsidR="004B6E60" w:rsidRDefault="004B6E60" w:rsidP="00596AB1">
      <w:pPr>
        <w:pStyle w:val="ConsPlusTitle"/>
        <w:spacing w:line="360" w:lineRule="auto"/>
        <w:ind w:firstLine="709"/>
        <w:jc w:val="center"/>
        <w:outlineLvl w:val="1"/>
      </w:pPr>
    </w:p>
    <w:p w:rsidR="001308F0" w:rsidRPr="0090622C" w:rsidRDefault="0090622C" w:rsidP="00596AB1">
      <w:pPr>
        <w:pStyle w:val="ConsPlusTitle"/>
        <w:spacing w:line="360" w:lineRule="auto"/>
        <w:ind w:firstLine="709"/>
        <w:jc w:val="center"/>
        <w:outlineLvl w:val="1"/>
      </w:pPr>
      <w:r w:rsidRPr="0090622C">
        <w:t xml:space="preserve">IV. ПЛАН-ГРАФИК </w:t>
      </w:r>
      <w:proofErr w:type="gramStart"/>
      <w:r w:rsidR="00AE6926">
        <w:t>ПРОФИЛАКТИЧЕСКИХ</w:t>
      </w:r>
      <w:proofErr w:type="gramEnd"/>
      <w:r w:rsidR="00AE6926">
        <w:t xml:space="preserve"> МЕРОПРИТИЙ</w:t>
      </w:r>
    </w:p>
    <w:p w:rsidR="001308F0" w:rsidRDefault="009D0FA7" w:rsidP="00596AB1">
      <w:pPr>
        <w:pStyle w:val="ConsPlusTitle"/>
        <w:spacing w:line="360" w:lineRule="auto"/>
        <w:ind w:firstLine="709"/>
        <w:jc w:val="both"/>
        <w:outlineLvl w:val="1"/>
        <w:rPr>
          <w:b w:val="0"/>
        </w:rPr>
      </w:pPr>
      <w:proofErr w:type="gramStart"/>
      <w:r>
        <w:rPr>
          <w:b w:val="0"/>
        </w:rPr>
        <w:t>План-графики</w:t>
      </w:r>
      <w:proofErr w:type="gramEnd"/>
      <w:r>
        <w:rPr>
          <w:b w:val="0"/>
        </w:rPr>
        <w:t xml:space="preserve"> в п</w:t>
      </w:r>
      <w:r w:rsidR="001308F0" w:rsidRPr="009F218B">
        <w:rPr>
          <w:b w:val="0"/>
        </w:rPr>
        <w:t>риложени</w:t>
      </w:r>
      <w:r>
        <w:rPr>
          <w:b w:val="0"/>
        </w:rPr>
        <w:t>и</w:t>
      </w:r>
      <w:r w:rsidR="001308F0">
        <w:rPr>
          <w:b w:val="0"/>
        </w:rPr>
        <w:t xml:space="preserve"> </w:t>
      </w:r>
      <w:r w:rsidR="001308F0" w:rsidRPr="009F218B">
        <w:rPr>
          <w:b w:val="0"/>
        </w:rPr>
        <w:t xml:space="preserve">к </w:t>
      </w:r>
      <w:r>
        <w:rPr>
          <w:b w:val="0"/>
        </w:rPr>
        <w:t xml:space="preserve">настоящей </w:t>
      </w:r>
      <w:r w:rsidR="00AA72A9">
        <w:rPr>
          <w:b w:val="0"/>
        </w:rPr>
        <w:t>Подп</w:t>
      </w:r>
      <w:r w:rsidR="001308F0" w:rsidRPr="009F218B">
        <w:rPr>
          <w:b w:val="0"/>
        </w:rPr>
        <w:t>рограмме</w:t>
      </w:r>
      <w:r w:rsidR="001308F0">
        <w:rPr>
          <w:b w:val="0"/>
        </w:rPr>
        <w:t>.</w:t>
      </w:r>
    </w:p>
    <w:p w:rsidR="004B6E60" w:rsidRDefault="004B6E60" w:rsidP="00596AB1">
      <w:pPr>
        <w:pStyle w:val="ConsPlusTitle"/>
        <w:spacing w:line="360" w:lineRule="auto"/>
        <w:ind w:firstLine="709"/>
        <w:jc w:val="center"/>
        <w:outlineLvl w:val="1"/>
      </w:pPr>
    </w:p>
    <w:p w:rsidR="001308F0" w:rsidRPr="0090622C" w:rsidRDefault="0090622C" w:rsidP="00596AB1">
      <w:pPr>
        <w:pStyle w:val="ConsPlusTitle"/>
        <w:spacing w:line="360" w:lineRule="auto"/>
        <w:ind w:firstLine="709"/>
        <w:jc w:val="center"/>
        <w:outlineLvl w:val="1"/>
      </w:pPr>
      <w:r w:rsidRPr="0090622C">
        <w:rPr>
          <w:lang w:val="en-US"/>
        </w:rPr>
        <w:t>V</w:t>
      </w:r>
      <w:r w:rsidRPr="0090622C">
        <w:t>. ОПРЕДЕЛЕНИЕ РЕСУРСНОГО ОБЕСПЕЧЕНИЯ П</w:t>
      </w:r>
      <w:r w:rsidR="00A9260C">
        <w:t>ОДП</w:t>
      </w:r>
      <w:r w:rsidRPr="0090622C">
        <w:t>РОГРАММЫ</w:t>
      </w:r>
    </w:p>
    <w:p w:rsidR="001636B6" w:rsidRPr="001636B6" w:rsidRDefault="001636B6" w:rsidP="00596AB1">
      <w:pPr>
        <w:spacing w:after="0" w:line="360" w:lineRule="auto"/>
        <w:ind w:firstLine="709"/>
        <w:jc w:val="both"/>
        <w:rPr>
          <w:rFonts w:ascii="Times New Roman" w:eastAsia="Calibri" w:hAnsi="Times New Roman" w:cs="Times New Roman"/>
          <w:sz w:val="28"/>
          <w:szCs w:val="28"/>
          <w:lang w:eastAsia="ru-RU"/>
        </w:rPr>
      </w:pPr>
      <w:r w:rsidRPr="001636B6">
        <w:rPr>
          <w:rFonts w:ascii="Times New Roman" w:eastAsia="Calibri" w:hAnsi="Times New Roman" w:cs="Times New Roman"/>
          <w:sz w:val="28"/>
          <w:szCs w:val="28"/>
          <w:lang w:eastAsia="ru-RU"/>
        </w:rPr>
        <w:t>Штатная численность</w:t>
      </w:r>
      <w:r>
        <w:rPr>
          <w:rFonts w:ascii="Times New Roman" w:eastAsia="Calibri" w:hAnsi="Times New Roman" w:cs="Times New Roman"/>
          <w:sz w:val="28"/>
          <w:szCs w:val="28"/>
          <w:lang w:eastAsia="ru-RU"/>
        </w:rPr>
        <w:t xml:space="preserve"> </w:t>
      </w:r>
      <w:r w:rsidR="00A9260C">
        <w:rPr>
          <w:rFonts w:ascii="Times New Roman" w:eastAsia="Calibri" w:hAnsi="Times New Roman" w:cs="Times New Roman"/>
          <w:sz w:val="28"/>
          <w:szCs w:val="28"/>
          <w:lang w:eastAsia="ru-RU"/>
        </w:rPr>
        <w:t>государственных гражданских служащих, осуществляющих</w:t>
      </w:r>
      <w:r>
        <w:rPr>
          <w:rFonts w:ascii="Times New Roman" w:eastAsia="Calibri" w:hAnsi="Times New Roman" w:cs="Times New Roman"/>
          <w:sz w:val="28"/>
          <w:szCs w:val="28"/>
          <w:lang w:eastAsia="ru-RU"/>
        </w:rPr>
        <w:t xml:space="preserve"> надзор за объектами трубопроводного транспорта</w:t>
      </w:r>
      <w:r w:rsidR="00A9260C">
        <w:rPr>
          <w:rFonts w:ascii="Times New Roman" w:eastAsia="Calibri" w:hAnsi="Times New Roman" w:cs="Times New Roman"/>
          <w:sz w:val="28"/>
          <w:szCs w:val="28"/>
          <w:lang w:eastAsia="ru-RU"/>
        </w:rPr>
        <w:t>,</w:t>
      </w:r>
      <w:r w:rsidRPr="001636B6">
        <w:rPr>
          <w:rFonts w:ascii="Times New Roman" w:eastAsia="Calibri" w:hAnsi="Times New Roman" w:cs="Times New Roman"/>
          <w:sz w:val="28"/>
          <w:szCs w:val="28"/>
          <w:lang w:eastAsia="ru-RU"/>
        </w:rPr>
        <w:t xml:space="preserve"> составляет </w:t>
      </w:r>
      <w:r w:rsidR="002171B0">
        <w:rPr>
          <w:rFonts w:ascii="Times New Roman" w:eastAsia="Calibri" w:hAnsi="Times New Roman" w:cs="Times New Roman"/>
          <w:sz w:val="28"/>
          <w:szCs w:val="28"/>
          <w:lang w:eastAsia="ru-RU"/>
        </w:rPr>
        <w:t>5</w:t>
      </w:r>
      <w:r w:rsidRPr="001636B6">
        <w:rPr>
          <w:rFonts w:ascii="Times New Roman" w:eastAsia="Calibri" w:hAnsi="Times New Roman" w:cs="Times New Roman"/>
          <w:sz w:val="28"/>
          <w:szCs w:val="28"/>
          <w:lang w:eastAsia="ru-RU"/>
        </w:rPr>
        <w:t xml:space="preserve"> человек, фактическая – </w:t>
      </w:r>
      <w:r w:rsidR="002171B0">
        <w:rPr>
          <w:rFonts w:ascii="Times New Roman" w:eastAsia="Calibri" w:hAnsi="Times New Roman" w:cs="Times New Roman"/>
          <w:sz w:val="28"/>
          <w:szCs w:val="28"/>
          <w:lang w:eastAsia="ru-RU"/>
        </w:rPr>
        <w:t xml:space="preserve">5 </w:t>
      </w:r>
      <w:r w:rsidRPr="001636B6">
        <w:rPr>
          <w:rFonts w:ascii="Times New Roman" w:eastAsia="Calibri" w:hAnsi="Times New Roman" w:cs="Times New Roman"/>
          <w:sz w:val="28"/>
          <w:szCs w:val="28"/>
          <w:lang w:eastAsia="ru-RU"/>
        </w:rPr>
        <w:t xml:space="preserve">человек. Численность государственных гражданских служащих управления укомплектована на </w:t>
      </w:r>
      <w:r w:rsidR="002A0C52">
        <w:rPr>
          <w:rFonts w:ascii="Times New Roman" w:eastAsia="Calibri" w:hAnsi="Times New Roman" w:cs="Times New Roman"/>
          <w:sz w:val="28"/>
          <w:szCs w:val="28"/>
          <w:lang w:eastAsia="ru-RU"/>
        </w:rPr>
        <w:t>100</w:t>
      </w:r>
      <w:r w:rsidRPr="001636B6">
        <w:rPr>
          <w:rFonts w:ascii="Times New Roman" w:eastAsia="Calibri" w:hAnsi="Times New Roman" w:cs="Times New Roman"/>
          <w:sz w:val="28"/>
          <w:szCs w:val="28"/>
          <w:lang w:eastAsia="ru-RU"/>
        </w:rPr>
        <w:t xml:space="preserve"> %. Высшее профессиональное образование, соответствующее профилю выполняемой работы</w:t>
      </w:r>
      <w:r w:rsidR="00A9260C">
        <w:rPr>
          <w:rFonts w:ascii="Times New Roman" w:eastAsia="Calibri" w:hAnsi="Times New Roman" w:cs="Times New Roman"/>
          <w:sz w:val="28"/>
          <w:szCs w:val="28"/>
          <w:lang w:eastAsia="ru-RU"/>
        </w:rPr>
        <w:t>,</w:t>
      </w:r>
      <w:r w:rsidRPr="001636B6">
        <w:rPr>
          <w:rFonts w:ascii="Times New Roman" w:eastAsia="Calibri" w:hAnsi="Times New Roman" w:cs="Times New Roman"/>
          <w:sz w:val="28"/>
          <w:szCs w:val="28"/>
          <w:lang w:eastAsia="ru-RU"/>
        </w:rPr>
        <w:t xml:space="preserve"> имеют </w:t>
      </w:r>
      <w:r>
        <w:rPr>
          <w:rFonts w:ascii="Times New Roman" w:eastAsia="Calibri" w:hAnsi="Times New Roman" w:cs="Times New Roman"/>
          <w:sz w:val="28"/>
          <w:szCs w:val="28"/>
          <w:lang w:eastAsia="ru-RU"/>
        </w:rPr>
        <w:t>100</w:t>
      </w:r>
      <w:r w:rsidRPr="001636B6">
        <w:rPr>
          <w:rFonts w:ascii="Times New Roman" w:eastAsia="Calibri" w:hAnsi="Times New Roman" w:cs="Times New Roman"/>
          <w:sz w:val="28"/>
          <w:szCs w:val="28"/>
          <w:lang w:eastAsia="ru-RU"/>
        </w:rPr>
        <w:t xml:space="preserve"> % государственных гражданских служащих, </w:t>
      </w:r>
      <w:r>
        <w:rPr>
          <w:rFonts w:ascii="Times New Roman" w:eastAsia="Calibri" w:hAnsi="Times New Roman" w:cs="Times New Roman"/>
          <w:sz w:val="28"/>
          <w:szCs w:val="28"/>
          <w:lang w:eastAsia="ru-RU"/>
        </w:rPr>
        <w:t>3</w:t>
      </w:r>
      <w:r w:rsidRPr="001636B6">
        <w:rPr>
          <w:rFonts w:ascii="Times New Roman" w:eastAsia="Calibri" w:hAnsi="Times New Roman" w:cs="Times New Roman"/>
          <w:sz w:val="28"/>
          <w:szCs w:val="28"/>
          <w:lang w:eastAsia="ru-RU"/>
        </w:rPr>
        <w:t xml:space="preserve"> из н</w:t>
      </w:r>
      <w:r>
        <w:rPr>
          <w:rFonts w:ascii="Times New Roman" w:eastAsia="Calibri" w:hAnsi="Times New Roman" w:cs="Times New Roman"/>
          <w:sz w:val="28"/>
          <w:szCs w:val="28"/>
          <w:lang w:eastAsia="ru-RU"/>
        </w:rPr>
        <w:t>их имеют два высших образования.</w:t>
      </w:r>
      <w:r w:rsidRPr="001636B6">
        <w:rPr>
          <w:rFonts w:ascii="Times New Roman" w:eastAsia="Calibri" w:hAnsi="Times New Roman" w:cs="Times New Roman"/>
          <w:sz w:val="28"/>
          <w:szCs w:val="28"/>
          <w:lang w:eastAsia="ru-RU"/>
        </w:rPr>
        <w:t xml:space="preserve"> </w:t>
      </w:r>
      <w:r w:rsidR="002171B0">
        <w:rPr>
          <w:rFonts w:ascii="Times New Roman" w:eastAsia="Calibri" w:hAnsi="Times New Roman" w:cs="Times New Roman"/>
          <w:sz w:val="28"/>
          <w:szCs w:val="28"/>
          <w:lang w:eastAsia="ru-RU"/>
        </w:rPr>
        <w:t>Все</w:t>
      </w:r>
      <w:r w:rsidRPr="001636B6">
        <w:rPr>
          <w:rFonts w:ascii="Times New Roman" w:eastAsia="Calibri" w:hAnsi="Times New Roman" w:cs="Times New Roman"/>
          <w:sz w:val="28"/>
          <w:szCs w:val="28"/>
          <w:lang w:eastAsia="ru-RU"/>
        </w:rPr>
        <w:t xml:space="preserve"> государственны</w:t>
      </w:r>
      <w:r w:rsidR="002171B0">
        <w:rPr>
          <w:rFonts w:ascii="Times New Roman" w:eastAsia="Calibri" w:hAnsi="Times New Roman" w:cs="Times New Roman"/>
          <w:sz w:val="28"/>
          <w:szCs w:val="28"/>
          <w:lang w:eastAsia="ru-RU"/>
        </w:rPr>
        <w:t>е</w:t>
      </w:r>
      <w:r w:rsidRPr="001636B6">
        <w:rPr>
          <w:rFonts w:ascii="Times New Roman" w:eastAsia="Calibri" w:hAnsi="Times New Roman" w:cs="Times New Roman"/>
          <w:sz w:val="28"/>
          <w:szCs w:val="28"/>
          <w:lang w:eastAsia="ru-RU"/>
        </w:rPr>
        <w:t xml:space="preserve"> граждански</w:t>
      </w:r>
      <w:r w:rsidR="002171B0">
        <w:rPr>
          <w:rFonts w:ascii="Times New Roman" w:eastAsia="Calibri" w:hAnsi="Times New Roman" w:cs="Times New Roman"/>
          <w:sz w:val="28"/>
          <w:szCs w:val="28"/>
          <w:lang w:eastAsia="ru-RU"/>
        </w:rPr>
        <w:t>е</w:t>
      </w:r>
      <w:r w:rsidRPr="001636B6">
        <w:rPr>
          <w:rFonts w:ascii="Times New Roman" w:eastAsia="Calibri" w:hAnsi="Times New Roman" w:cs="Times New Roman"/>
          <w:sz w:val="28"/>
          <w:szCs w:val="28"/>
          <w:lang w:eastAsia="ru-RU"/>
        </w:rPr>
        <w:t xml:space="preserve"> служащи</w:t>
      </w:r>
      <w:r w:rsidR="002171B0">
        <w:rPr>
          <w:rFonts w:ascii="Times New Roman" w:eastAsia="Calibri" w:hAnsi="Times New Roman" w:cs="Times New Roman"/>
          <w:sz w:val="28"/>
          <w:szCs w:val="28"/>
          <w:lang w:eastAsia="ru-RU"/>
        </w:rPr>
        <w:t>е</w:t>
      </w:r>
      <w:r w:rsidRPr="001636B6">
        <w:rPr>
          <w:rFonts w:ascii="Times New Roman" w:eastAsia="Calibri" w:hAnsi="Times New Roman" w:cs="Times New Roman"/>
          <w:sz w:val="28"/>
          <w:szCs w:val="28"/>
          <w:lang w:eastAsia="ru-RU"/>
        </w:rPr>
        <w:t xml:space="preserve"> Управления служат в орган</w:t>
      </w:r>
      <w:r>
        <w:rPr>
          <w:rFonts w:ascii="Times New Roman" w:eastAsia="Calibri" w:hAnsi="Times New Roman" w:cs="Times New Roman"/>
          <w:sz w:val="28"/>
          <w:szCs w:val="28"/>
          <w:lang w:eastAsia="ru-RU"/>
        </w:rPr>
        <w:t>е</w:t>
      </w:r>
      <w:r w:rsidRPr="001636B6">
        <w:rPr>
          <w:rFonts w:ascii="Times New Roman" w:eastAsia="Calibri" w:hAnsi="Times New Roman" w:cs="Times New Roman"/>
          <w:sz w:val="28"/>
          <w:szCs w:val="28"/>
          <w:lang w:eastAsia="ru-RU"/>
        </w:rPr>
        <w:t xml:space="preserve"> надзора свыше 5 лет. </w:t>
      </w:r>
    </w:p>
    <w:p w:rsidR="001636B6" w:rsidRPr="001636B6" w:rsidRDefault="001636B6" w:rsidP="00596AB1">
      <w:pPr>
        <w:spacing w:after="0" w:line="360" w:lineRule="auto"/>
        <w:ind w:firstLine="709"/>
        <w:jc w:val="both"/>
        <w:rPr>
          <w:rFonts w:ascii="Times New Roman" w:eastAsia="Calibri" w:hAnsi="Times New Roman" w:cs="Times New Roman"/>
          <w:sz w:val="28"/>
          <w:szCs w:val="28"/>
          <w:lang w:eastAsia="ru-RU"/>
        </w:rPr>
      </w:pPr>
      <w:r w:rsidRPr="001636B6">
        <w:rPr>
          <w:rFonts w:ascii="Times New Roman" w:eastAsia="Calibri" w:hAnsi="Times New Roman" w:cs="Times New Roman"/>
          <w:sz w:val="28"/>
          <w:szCs w:val="28"/>
          <w:lang w:eastAsia="ru-RU"/>
        </w:rPr>
        <w:t xml:space="preserve">В целом </w:t>
      </w:r>
      <w:r w:rsidR="009B06C9">
        <w:rPr>
          <w:rFonts w:ascii="Times New Roman" w:eastAsia="Calibri" w:hAnsi="Times New Roman" w:cs="Times New Roman"/>
          <w:sz w:val="28"/>
          <w:szCs w:val="28"/>
          <w:lang w:eastAsia="ru-RU"/>
        </w:rPr>
        <w:t>надзор</w:t>
      </w:r>
      <w:r w:rsidRPr="001636B6">
        <w:rPr>
          <w:rFonts w:ascii="Times New Roman" w:eastAsia="Calibri" w:hAnsi="Times New Roman" w:cs="Times New Roman"/>
          <w:sz w:val="28"/>
          <w:szCs w:val="28"/>
          <w:lang w:eastAsia="ru-RU"/>
        </w:rPr>
        <w:t xml:space="preserve"> укомплектован высококвалифицированными специалистами, способными решать задачи по повышению качества организации и выполнения в полном объеме функций, возложенных на  Ростехнадзор, в пр</w:t>
      </w:r>
      <w:r w:rsidR="009B06C9">
        <w:rPr>
          <w:rFonts w:ascii="Times New Roman" w:eastAsia="Calibri" w:hAnsi="Times New Roman" w:cs="Times New Roman"/>
          <w:sz w:val="28"/>
          <w:szCs w:val="28"/>
          <w:lang w:eastAsia="ru-RU"/>
        </w:rPr>
        <w:t>е</w:t>
      </w:r>
      <w:r w:rsidRPr="001636B6">
        <w:rPr>
          <w:rFonts w:ascii="Times New Roman" w:eastAsia="Calibri" w:hAnsi="Times New Roman" w:cs="Times New Roman"/>
          <w:sz w:val="28"/>
          <w:szCs w:val="28"/>
          <w:lang w:eastAsia="ru-RU"/>
        </w:rPr>
        <w:t>делах своих полномочий.</w:t>
      </w:r>
    </w:p>
    <w:p w:rsidR="001636B6" w:rsidRPr="001636B6" w:rsidRDefault="001636B6" w:rsidP="00596AB1">
      <w:pPr>
        <w:spacing w:after="0" w:line="360" w:lineRule="auto"/>
        <w:ind w:firstLine="709"/>
        <w:jc w:val="both"/>
        <w:rPr>
          <w:rFonts w:ascii="Times New Roman" w:eastAsia="Calibri" w:hAnsi="Times New Roman" w:cs="Times New Roman"/>
          <w:sz w:val="28"/>
          <w:szCs w:val="28"/>
          <w:lang w:eastAsia="ru-RU"/>
        </w:rPr>
      </w:pPr>
      <w:r w:rsidRPr="001636B6">
        <w:rPr>
          <w:rFonts w:ascii="Times New Roman" w:eastAsia="Calibri" w:hAnsi="Times New Roman" w:cs="Times New Roman"/>
          <w:sz w:val="28"/>
          <w:szCs w:val="28"/>
          <w:lang w:eastAsia="ru-RU"/>
        </w:rPr>
        <w:t xml:space="preserve">Реализация </w:t>
      </w:r>
      <w:r w:rsidR="009B06C9">
        <w:rPr>
          <w:rFonts w:ascii="Times New Roman" w:eastAsia="Calibri" w:hAnsi="Times New Roman" w:cs="Times New Roman"/>
          <w:sz w:val="28"/>
          <w:szCs w:val="28"/>
          <w:lang w:eastAsia="ru-RU"/>
        </w:rPr>
        <w:t>под</w:t>
      </w:r>
      <w:r w:rsidRPr="001636B6">
        <w:rPr>
          <w:rFonts w:ascii="Times New Roman" w:eastAsia="Calibri" w:hAnsi="Times New Roman" w:cs="Times New Roman"/>
          <w:sz w:val="28"/>
          <w:szCs w:val="28"/>
          <w:lang w:eastAsia="ru-RU"/>
        </w:rPr>
        <w:t xml:space="preserve">программы осуществляется в пределах утвержденной штатной численности и доведенного финансирования на период реализации </w:t>
      </w:r>
      <w:r w:rsidR="009B06C9">
        <w:rPr>
          <w:rFonts w:ascii="Times New Roman" w:eastAsia="Calibri" w:hAnsi="Times New Roman" w:cs="Times New Roman"/>
          <w:sz w:val="28"/>
          <w:szCs w:val="28"/>
          <w:lang w:eastAsia="ru-RU"/>
        </w:rPr>
        <w:t>под</w:t>
      </w:r>
      <w:r w:rsidRPr="001636B6">
        <w:rPr>
          <w:rFonts w:ascii="Times New Roman" w:eastAsia="Calibri" w:hAnsi="Times New Roman" w:cs="Times New Roman"/>
          <w:sz w:val="28"/>
          <w:szCs w:val="28"/>
          <w:lang w:eastAsia="ru-RU"/>
        </w:rPr>
        <w:t>программы.</w:t>
      </w:r>
    </w:p>
    <w:p w:rsidR="004B6E60" w:rsidRDefault="004B6E60" w:rsidP="00596AB1">
      <w:pPr>
        <w:pStyle w:val="ConsPlusTitle"/>
        <w:spacing w:line="360" w:lineRule="auto"/>
        <w:ind w:firstLine="709"/>
        <w:jc w:val="center"/>
      </w:pPr>
    </w:p>
    <w:p w:rsidR="001308F0" w:rsidRPr="0090622C" w:rsidRDefault="0090622C" w:rsidP="00596AB1">
      <w:pPr>
        <w:pStyle w:val="ConsPlusTitle"/>
        <w:spacing w:line="360" w:lineRule="auto"/>
        <w:ind w:firstLine="709"/>
        <w:jc w:val="center"/>
      </w:pPr>
      <w:r w:rsidRPr="0090622C">
        <w:rPr>
          <w:lang w:val="en-US"/>
        </w:rPr>
        <w:t>VI</w:t>
      </w:r>
      <w:r w:rsidRPr="0090622C">
        <w:t>. ПЕРЕЧЕНЬ УПОЛНОМОЧЕННЫХ ДОЛЖНОСТНЫХ ЛИЦ</w:t>
      </w:r>
      <w:r>
        <w:t xml:space="preserve"> </w:t>
      </w:r>
      <w:r w:rsidRPr="0090622C">
        <w:t xml:space="preserve">(С </w:t>
      </w:r>
      <w:r w:rsidRPr="0090622C">
        <w:lastRenderedPageBreak/>
        <w:t>КОНТАКТАМИ), ОТВЕТСТВЕННЫХ ЗА ОРГАНИЗАЦИЮ И ПРОВЕДЕН</w:t>
      </w:r>
      <w:r>
        <w:t>ИЕ ПРОФИЛАКТИЧЕСКИХ МЕРОПРИЯТИЙ</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062"/>
        <w:gridCol w:w="2438"/>
        <w:gridCol w:w="4500"/>
      </w:tblGrid>
      <w:tr w:rsidR="00521F2C" w:rsidRPr="0026062A" w:rsidTr="00521F2C">
        <w:tc>
          <w:tcPr>
            <w:tcW w:w="648" w:type="dxa"/>
            <w:tcBorders>
              <w:top w:val="single" w:sz="4" w:space="0" w:color="auto"/>
              <w:left w:val="single" w:sz="4" w:space="0" w:color="auto"/>
              <w:bottom w:val="single" w:sz="4" w:space="0" w:color="auto"/>
              <w:right w:val="single" w:sz="4" w:space="0" w:color="auto"/>
            </w:tcBorders>
            <w:hideMark/>
          </w:tcPr>
          <w:p w:rsidR="00521F2C" w:rsidRPr="0026062A" w:rsidRDefault="00DC2D39" w:rsidP="004B6E60">
            <w:pPr>
              <w:widowControl w:val="0"/>
              <w:autoSpaceDE w:val="0"/>
              <w:autoSpaceDN w:val="0"/>
              <w:spacing w:after="0" w:line="240" w:lineRule="auto"/>
              <w:rPr>
                <w:rFonts w:ascii="Times New Roman" w:eastAsia="Times New Roman" w:hAnsi="Times New Roman" w:cs="Times New Roman"/>
                <w:sz w:val="24"/>
                <w:szCs w:val="24"/>
                <w:lang w:eastAsia="ru-RU"/>
              </w:rPr>
            </w:pPr>
            <w:r w:rsidRPr="0026062A">
              <w:rPr>
                <w:sz w:val="24"/>
                <w:szCs w:val="24"/>
              </w:rPr>
              <w:t> </w:t>
            </w:r>
            <w:r w:rsidR="00521F2C" w:rsidRPr="0026062A">
              <w:rPr>
                <w:rFonts w:ascii="Times New Roman" w:eastAsia="Times New Roman" w:hAnsi="Times New Roman" w:cs="Times New Roman"/>
                <w:sz w:val="24"/>
                <w:szCs w:val="24"/>
                <w:lang w:eastAsia="ru-RU"/>
              </w:rPr>
              <w:t xml:space="preserve">№ </w:t>
            </w:r>
            <w:proofErr w:type="gramStart"/>
            <w:r w:rsidR="00521F2C" w:rsidRPr="0026062A">
              <w:rPr>
                <w:rFonts w:ascii="Times New Roman" w:eastAsia="Times New Roman" w:hAnsi="Times New Roman" w:cs="Times New Roman"/>
                <w:sz w:val="24"/>
                <w:szCs w:val="24"/>
                <w:lang w:eastAsia="ru-RU"/>
              </w:rPr>
              <w:t>п</w:t>
            </w:r>
            <w:proofErr w:type="gramEnd"/>
            <w:r w:rsidR="00521F2C" w:rsidRPr="0026062A">
              <w:rPr>
                <w:rFonts w:ascii="Times New Roman" w:eastAsia="Times New Roman" w:hAnsi="Times New Roman" w:cs="Times New Roman"/>
                <w:sz w:val="24"/>
                <w:szCs w:val="24"/>
                <w:lang w:eastAsia="ru-RU"/>
              </w:rPr>
              <w:t>/п</w:t>
            </w:r>
          </w:p>
        </w:tc>
        <w:tc>
          <w:tcPr>
            <w:tcW w:w="2062" w:type="dxa"/>
            <w:tcBorders>
              <w:top w:val="single" w:sz="4" w:space="0" w:color="auto"/>
              <w:left w:val="single" w:sz="4" w:space="0" w:color="auto"/>
              <w:bottom w:val="single" w:sz="4" w:space="0" w:color="auto"/>
              <w:right w:val="single" w:sz="4" w:space="0" w:color="auto"/>
            </w:tcBorders>
            <w:hideMark/>
          </w:tcPr>
          <w:p w:rsidR="00521F2C" w:rsidRPr="0026062A" w:rsidRDefault="00521F2C" w:rsidP="004B6E60">
            <w:pPr>
              <w:widowControl w:val="0"/>
              <w:autoSpaceDE w:val="0"/>
              <w:autoSpaceDN w:val="0"/>
              <w:spacing w:after="0" w:line="240" w:lineRule="auto"/>
              <w:rPr>
                <w:rFonts w:ascii="Times New Roman" w:eastAsia="Times New Roman" w:hAnsi="Times New Roman" w:cs="Times New Roman"/>
                <w:sz w:val="24"/>
                <w:szCs w:val="24"/>
                <w:lang w:eastAsia="ru-RU"/>
              </w:rPr>
            </w:pPr>
            <w:r w:rsidRPr="0026062A">
              <w:rPr>
                <w:rFonts w:ascii="Times New Roman" w:eastAsia="Times New Roman" w:hAnsi="Times New Roman" w:cs="Times New Roman"/>
                <w:sz w:val="24"/>
                <w:szCs w:val="24"/>
                <w:lang w:eastAsia="ru-RU"/>
              </w:rPr>
              <w:t>Ф.И.О.</w:t>
            </w:r>
          </w:p>
        </w:tc>
        <w:tc>
          <w:tcPr>
            <w:tcW w:w="2438" w:type="dxa"/>
            <w:tcBorders>
              <w:top w:val="single" w:sz="4" w:space="0" w:color="auto"/>
              <w:left w:val="single" w:sz="4" w:space="0" w:color="auto"/>
              <w:bottom w:val="single" w:sz="4" w:space="0" w:color="auto"/>
              <w:right w:val="single" w:sz="4" w:space="0" w:color="auto"/>
            </w:tcBorders>
            <w:hideMark/>
          </w:tcPr>
          <w:p w:rsidR="00521F2C" w:rsidRPr="0026062A" w:rsidRDefault="00521F2C" w:rsidP="004B6E60">
            <w:pPr>
              <w:widowControl w:val="0"/>
              <w:autoSpaceDE w:val="0"/>
              <w:autoSpaceDN w:val="0"/>
              <w:spacing w:after="0" w:line="240" w:lineRule="auto"/>
              <w:rPr>
                <w:rFonts w:ascii="Times New Roman" w:eastAsia="Times New Roman" w:hAnsi="Times New Roman" w:cs="Times New Roman"/>
                <w:sz w:val="24"/>
                <w:szCs w:val="24"/>
                <w:lang w:eastAsia="ru-RU"/>
              </w:rPr>
            </w:pPr>
            <w:r w:rsidRPr="0026062A">
              <w:rPr>
                <w:rFonts w:ascii="Times New Roman" w:eastAsia="Times New Roman" w:hAnsi="Times New Roman" w:cs="Times New Roman"/>
                <w:sz w:val="24"/>
                <w:szCs w:val="24"/>
                <w:lang w:eastAsia="ru-RU"/>
              </w:rPr>
              <w:t>Должность</w:t>
            </w:r>
          </w:p>
        </w:tc>
        <w:tc>
          <w:tcPr>
            <w:tcW w:w="4500" w:type="dxa"/>
            <w:tcBorders>
              <w:top w:val="single" w:sz="4" w:space="0" w:color="auto"/>
              <w:left w:val="single" w:sz="4" w:space="0" w:color="auto"/>
              <w:bottom w:val="single" w:sz="4" w:space="0" w:color="auto"/>
              <w:right w:val="single" w:sz="4" w:space="0" w:color="auto"/>
            </w:tcBorders>
            <w:hideMark/>
          </w:tcPr>
          <w:p w:rsidR="00521F2C" w:rsidRPr="0026062A" w:rsidRDefault="00521F2C" w:rsidP="004B6E60">
            <w:pPr>
              <w:widowControl w:val="0"/>
              <w:autoSpaceDE w:val="0"/>
              <w:autoSpaceDN w:val="0"/>
              <w:spacing w:after="0" w:line="240" w:lineRule="auto"/>
              <w:rPr>
                <w:rFonts w:ascii="Times New Roman" w:eastAsia="Times New Roman" w:hAnsi="Times New Roman" w:cs="Times New Roman"/>
                <w:sz w:val="24"/>
                <w:szCs w:val="24"/>
                <w:lang w:eastAsia="ru-RU"/>
              </w:rPr>
            </w:pPr>
            <w:r w:rsidRPr="0026062A">
              <w:rPr>
                <w:rFonts w:ascii="Times New Roman" w:eastAsia="Times New Roman" w:hAnsi="Times New Roman" w:cs="Times New Roman"/>
                <w:sz w:val="24"/>
                <w:szCs w:val="24"/>
                <w:lang w:eastAsia="ru-RU"/>
              </w:rPr>
              <w:t>Контактные данные</w:t>
            </w:r>
          </w:p>
        </w:tc>
      </w:tr>
      <w:tr w:rsidR="00521F2C" w:rsidRPr="0026062A" w:rsidTr="00521F2C">
        <w:tc>
          <w:tcPr>
            <w:tcW w:w="648" w:type="dxa"/>
            <w:tcBorders>
              <w:top w:val="single" w:sz="4" w:space="0" w:color="auto"/>
              <w:left w:val="single" w:sz="4" w:space="0" w:color="auto"/>
              <w:bottom w:val="single" w:sz="4" w:space="0" w:color="auto"/>
              <w:right w:val="single" w:sz="4" w:space="0" w:color="auto"/>
            </w:tcBorders>
            <w:hideMark/>
          </w:tcPr>
          <w:p w:rsidR="00521F2C" w:rsidRPr="0026062A" w:rsidRDefault="00521F2C" w:rsidP="004B6E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6062A">
              <w:rPr>
                <w:rFonts w:ascii="Times New Roman" w:eastAsia="Times New Roman" w:hAnsi="Times New Roman" w:cs="Times New Roman"/>
                <w:sz w:val="24"/>
                <w:szCs w:val="24"/>
                <w:lang w:eastAsia="ru-RU"/>
              </w:rPr>
              <w:t>1.</w:t>
            </w:r>
          </w:p>
        </w:tc>
        <w:tc>
          <w:tcPr>
            <w:tcW w:w="9000" w:type="dxa"/>
            <w:gridSpan w:val="3"/>
            <w:tcBorders>
              <w:top w:val="single" w:sz="4" w:space="0" w:color="auto"/>
              <w:left w:val="single" w:sz="4" w:space="0" w:color="auto"/>
              <w:bottom w:val="single" w:sz="4" w:space="0" w:color="auto"/>
              <w:right w:val="single" w:sz="4" w:space="0" w:color="auto"/>
            </w:tcBorders>
            <w:hideMark/>
          </w:tcPr>
          <w:p w:rsidR="00521F2C" w:rsidRPr="0026062A" w:rsidRDefault="00521F2C" w:rsidP="004B6E6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6062A">
              <w:rPr>
                <w:rFonts w:ascii="Times New Roman" w:eastAsia="Times New Roman" w:hAnsi="Times New Roman" w:cs="Times New Roman"/>
                <w:b/>
                <w:sz w:val="24"/>
                <w:szCs w:val="24"/>
                <w:lang w:eastAsia="ru-RU"/>
              </w:rPr>
              <w:t>Руководитель программы</w:t>
            </w:r>
          </w:p>
        </w:tc>
      </w:tr>
      <w:tr w:rsidR="009B06C9" w:rsidRPr="00596AB1" w:rsidTr="009B06C9">
        <w:tc>
          <w:tcPr>
            <w:tcW w:w="648"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2"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pStyle w:val="ConsPlusTitle"/>
              <w:rPr>
                <w:b w:val="0"/>
                <w:sz w:val="24"/>
                <w:szCs w:val="24"/>
              </w:rPr>
            </w:pPr>
            <w:r w:rsidRPr="0026062A">
              <w:rPr>
                <w:b w:val="0"/>
                <w:sz w:val="24"/>
                <w:szCs w:val="24"/>
              </w:rPr>
              <w:t>Колегов Дмитрий Валерьевич</w:t>
            </w:r>
          </w:p>
        </w:tc>
        <w:tc>
          <w:tcPr>
            <w:tcW w:w="2438"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pStyle w:val="ConsPlusTitle"/>
              <w:rPr>
                <w:b w:val="0"/>
                <w:sz w:val="24"/>
                <w:szCs w:val="24"/>
              </w:rPr>
            </w:pPr>
            <w:r w:rsidRPr="0026062A">
              <w:rPr>
                <w:b w:val="0"/>
                <w:sz w:val="24"/>
                <w:szCs w:val="24"/>
              </w:rPr>
              <w:t>заместитель руководителя управления</w:t>
            </w:r>
          </w:p>
        </w:tc>
        <w:tc>
          <w:tcPr>
            <w:tcW w:w="4500"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spacing w:after="0" w:line="240" w:lineRule="auto"/>
              <w:rPr>
                <w:rFonts w:ascii="Times New Roman" w:hAnsi="Times New Roman" w:cs="Times New Roman"/>
                <w:b/>
                <w:sz w:val="24"/>
                <w:szCs w:val="24"/>
                <w:lang w:val="en-US"/>
              </w:rPr>
            </w:pPr>
            <w:r w:rsidRPr="0026062A">
              <w:rPr>
                <w:rFonts w:ascii="Times New Roman" w:hAnsi="Times New Roman" w:cs="Times New Roman"/>
                <w:sz w:val="24"/>
                <w:szCs w:val="24"/>
              </w:rPr>
              <w:t>Тел</w:t>
            </w:r>
            <w:r w:rsidRPr="0026062A">
              <w:rPr>
                <w:rFonts w:ascii="Times New Roman" w:hAnsi="Times New Roman" w:cs="Times New Roman"/>
                <w:sz w:val="24"/>
                <w:szCs w:val="24"/>
                <w:lang w:val="en-US"/>
              </w:rPr>
              <w:t>. (3842) 71-63-00;      (383) 349-19-02     e-mail:</w:t>
            </w:r>
            <w:r w:rsidRPr="0026062A">
              <w:rPr>
                <w:rFonts w:ascii="Times New Roman" w:hAnsi="Times New Roman" w:cs="Times New Roman"/>
                <w:sz w:val="24"/>
                <w:szCs w:val="24"/>
                <w:u w:val="single"/>
                <w:lang w:val="en-US"/>
              </w:rPr>
              <w:t xml:space="preserve"> </w:t>
            </w:r>
            <w:r w:rsidRPr="0026062A">
              <w:rPr>
                <w:rFonts w:ascii="Times New Roman" w:hAnsi="Times New Roman" w:cs="Times New Roman"/>
                <w:sz w:val="24"/>
                <w:szCs w:val="24"/>
                <w:lang w:val="en-US"/>
              </w:rPr>
              <w:t>D.kolegov@zsib.gosnadzor.ru</w:t>
            </w:r>
          </w:p>
        </w:tc>
      </w:tr>
      <w:tr w:rsidR="00521F2C" w:rsidRPr="0026062A" w:rsidTr="00521F2C">
        <w:tc>
          <w:tcPr>
            <w:tcW w:w="648" w:type="dxa"/>
            <w:tcBorders>
              <w:top w:val="single" w:sz="4" w:space="0" w:color="auto"/>
              <w:left w:val="single" w:sz="4" w:space="0" w:color="auto"/>
              <w:bottom w:val="single" w:sz="4" w:space="0" w:color="auto"/>
              <w:right w:val="single" w:sz="4" w:space="0" w:color="auto"/>
            </w:tcBorders>
            <w:hideMark/>
          </w:tcPr>
          <w:p w:rsidR="00521F2C" w:rsidRPr="0026062A" w:rsidRDefault="00521F2C" w:rsidP="004B6E60">
            <w:pPr>
              <w:widowControl w:val="0"/>
              <w:autoSpaceDE w:val="0"/>
              <w:autoSpaceDN w:val="0"/>
              <w:spacing w:after="0" w:line="240" w:lineRule="auto"/>
              <w:rPr>
                <w:rFonts w:ascii="Times New Roman" w:eastAsia="Times New Roman" w:hAnsi="Times New Roman" w:cs="Times New Roman"/>
                <w:sz w:val="24"/>
                <w:szCs w:val="24"/>
                <w:lang w:eastAsia="ru-RU"/>
              </w:rPr>
            </w:pPr>
            <w:r w:rsidRPr="0026062A">
              <w:rPr>
                <w:rFonts w:ascii="Times New Roman" w:eastAsia="Times New Roman" w:hAnsi="Times New Roman" w:cs="Times New Roman"/>
                <w:sz w:val="24"/>
                <w:szCs w:val="24"/>
                <w:lang w:eastAsia="ru-RU"/>
              </w:rPr>
              <w:t>2.</w:t>
            </w:r>
          </w:p>
        </w:tc>
        <w:tc>
          <w:tcPr>
            <w:tcW w:w="9000" w:type="dxa"/>
            <w:gridSpan w:val="3"/>
            <w:tcBorders>
              <w:top w:val="single" w:sz="4" w:space="0" w:color="auto"/>
              <w:left w:val="single" w:sz="4" w:space="0" w:color="auto"/>
              <w:bottom w:val="single" w:sz="4" w:space="0" w:color="auto"/>
              <w:right w:val="single" w:sz="4" w:space="0" w:color="auto"/>
            </w:tcBorders>
            <w:hideMark/>
          </w:tcPr>
          <w:p w:rsidR="00521F2C" w:rsidRPr="0026062A" w:rsidRDefault="00521F2C" w:rsidP="004B6E6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6062A">
              <w:rPr>
                <w:rFonts w:ascii="Times New Roman" w:eastAsia="Times New Roman" w:hAnsi="Times New Roman" w:cs="Times New Roman"/>
                <w:b/>
                <w:sz w:val="24"/>
                <w:szCs w:val="24"/>
                <w:lang w:eastAsia="ru-RU"/>
              </w:rPr>
              <w:t>Должностные лица, ответственные за организацию и проведение профилактических мероприятий</w:t>
            </w:r>
          </w:p>
        </w:tc>
      </w:tr>
      <w:tr w:rsidR="009B06C9" w:rsidRPr="00596AB1" w:rsidTr="009B06C9">
        <w:tc>
          <w:tcPr>
            <w:tcW w:w="648" w:type="dxa"/>
            <w:tcBorders>
              <w:top w:val="single" w:sz="4" w:space="0" w:color="auto"/>
              <w:left w:val="single" w:sz="4" w:space="0" w:color="auto"/>
              <w:bottom w:val="single" w:sz="4" w:space="0" w:color="auto"/>
              <w:right w:val="single" w:sz="4" w:space="0" w:color="auto"/>
            </w:tcBorders>
            <w:hideMark/>
          </w:tcPr>
          <w:p w:rsidR="009B06C9" w:rsidRPr="0026062A" w:rsidRDefault="009B06C9" w:rsidP="004B6E60">
            <w:pPr>
              <w:widowControl w:val="0"/>
              <w:autoSpaceDE w:val="0"/>
              <w:autoSpaceDN w:val="0"/>
              <w:spacing w:after="0" w:line="240" w:lineRule="auto"/>
              <w:rPr>
                <w:rFonts w:ascii="Times New Roman" w:eastAsia="Times New Roman" w:hAnsi="Times New Roman" w:cs="Times New Roman"/>
                <w:sz w:val="24"/>
                <w:szCs w:val="24"/>
                <w:lang w:eastAsia="ru-RU"/>
              </w:rPr>
            </w:pPr>
            <w:r w:rsidRPr="0026062A">
              <w:rPr>
                <w:rFonts w:ascii="Times New Roman" w:eastAsia="Times New Roman" w:hAnsi="Times New Roman" w:cs="Times New Roman"/>
                <w:sz w:val="24"/>
                <w:szCs w:val="24"/>
                <w:lang w:eastAsia="ru-RU"/>
              </w:rPr>
              <w:t>2.1</w:t>
            </w:r>
          </w:p>
        </w:tc>
        <w:tc>
          <w:tcPr>
            <w:tcW w:w="2062"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spacing w:after="0" w:line="240" w:lineRule="auto"/>
              <w:rPr>
                <w:rFonts w:ascii="Times New Roman" w:hAnsi="Times New Roman" w:cs="Times New Roman"/>
                <w:sz w:val="24"/>
                <w:szCs w:val="24"/>
              </w:rPr>
            </w:pPr>
            <w:r w:rsidRPr="0026062A">
              <w:rPr>
                <w:rFonts w:ascii="Times New Roman" w:hAnsi="Times New Roman" w:cs="Times New Roman"/>
                <w:sz w:val="24"/>
                <w:szCs w:val="24"/>
              </w:rPr>
              <w:t xml:space="preserve">Жданов Дмитрий Сергеевич </w:t>
            </w:r>
          </w:p>
        </w:tc>
        <w:tc>
          <w:tcPr>
            <w:tcW w:w="2438"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spacing w:after="0" w:line="240" w:lineRule="auto"/>
              <w:rPr>
                <w:rFonts w:ascii="Times New Roman" w:hAnsi="Times New Roman" w:cs="Times New Roman"/>
                <w:sz w:val="24"/>
                <w:szCs w:val="24"/>
              </w:rPr>
            </w:pPr>
            <w:r w:rsidRPr="0026062A">
              <w:rPr>
                <w:rFonts w:ascii="Times New Roman" w:hAnsi="Times New Roman" w:cs="Times New Roman"/>
                <w:sz w:val="24"/>
                <w:szCs w:val="24"/>
              </w:rPr>
              <w:t>Начальник отдела</w:t>
            </w:r>
          </w:p>
        </w:tc>
        <w:tc>
          <w:tcPr>
            <w:tcW w:w="4500"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widowControl w:val="0"/>
              <w:autoSpaceDE w:val="0"/>
              <w:autoSpaceDN w:val="0"/>
              <w:spacing w:after="0" w:line="240" w:lineRule="auto"/>
              <w:rPr>
                <w:rFonts w:ascii="Times New Roman" w:eastAsia="Times New Roman" w:hAnsi="Times New Roman" w:cs="Times New Roman"/>
                <w:sz w:val="24"/>
                <w:szCs w:val="24"/>
                <w:lang w:val="en-US" w:eastAsia="ru-RU"/>
              </w:rPr>
            </w:pPr>
            <w:r w:rsidRPr="0026062A">
              <w:rPr>
                <w:rFonts w:ascii="Times New Roman" w:eastAsia="Times New Roman" w:hAnsi="Times New Roman" w:cs="Times New Roman"/>
                <w:sz w:val="24"/>
                <w:szCs w:val="24"/>
                <w:lang w:eastAsia="ru-RU"/>
              </w:rPr>
              <w:t>Тел</w:t>
            </w:r>
            <w:r w:rsidRPr="0026062A">
              <w:rPr>
                <w:rFonts w:ascii="Times New Roman" w:eastAsia="Times New Roman" w:hAnsi="Times New Roman" w:cs="Times New Roman"/>
                <w:sz w:val="24"/>
                <w:szCs w:val="24"/>
                <w:lang w:val="en-US" w:eastAsia="ru-RU"/>
              </w:rPr>
              <w:t>. (383) 349-19-31</w:t>
            </w:r>
          </w:p>
          <w:p w:rsidR="009B06C9" w:rsidRPr="0026062A" w:rsidRDefault="002712C4" w:rsidP="004B6E60">
            <w:pPr>
              <w:widowControl w:val="0"/>
              <w:autoSpaceDE w:val="0"/>
              <w:autoSpaceDN w:val="0"/>
              <w:spacing w:after="0" w:line="240" w:lineRule="auto"/>
              <w:rPr>
                <w:rFonts w:ascii="Times New Roman" w:eastAsia="Times New Roman" w:hAnsi="Times New Roman" w:cs="Times New Roman"/>
                <w:sz w:val="24"/>
                <w:szCs w:val="24"/>
                <w:lang w:val="en-US" w:eastAsia="ru-RU"/>
              </w:rPr>
            </w:pPr>
            <w:hyperlink r:id="rId9" w:history="1">
              <w:r w:rsidR="009B06C9" w:rsidRPr="0026062A">
                <w:rPr>
                  <w:rStyle w:val="a9"/>
                  <w:rFonts w:ascii="Times New Roman" w:eastAsia="Times New Roman" w:hAnsi="Times New Roman" w:cs="Times New Roman"/>
                  <w:sz w:val="24"/>
                  <w:szCs w:val="24"/>
                  <w:lang w:val="en-US" w:eastAsia="ru-RU"/>
                </w:rPr>
                <w:t xml:space="preserve"> e-mail: gaz-nadzor@zsib.gosnadzor.ru</w:t>
              </w:r>
            </w:hyperlink>
          </w:p>
        </w:tc>
      </w:tr>
      <w:tr w:rsidR="009B06C9" w:rsidRPr="00596AB1" w:rsidTr="00521F2C">
        <w:tc>
          <w:tcPr>
            <w:tcW w:w="648"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widowControl w:val="0"/>
              <w:autoSpaceDE w:val="0"/>
              <w:autoSpaceDN w:val="0"/>
              <w:spacing w:after="0" w:line="240" w:lineRule="auto"/>
              <w:rPr>
                <w:rFonts w:ascii="Times New Roman" w:eastAsia="Times New Roman" w:hAnsi="Times New Roman" w:cs="Times New Roman"/>
                <w:sz w:val="24"/>
                <w:szCs w:val="24"/>
                <w:lang w:eastAsia="ru-RU"/>
              </w:rPr>
            </w:pPr>
            <w:r w:rsidRPr="0026062A">
              <w:rPr>
                <w:rFonts w:ascii="Times New Roman" w:eastAsia="Times New Roman" w:hAnsi="Times New Roman" w:cs="Times New Roman"/>
                <w:sz w:val="24"/>
                <w:szCs w:val="24"/>
                <w:lang w:eastAsia="ru-RU"/>
              </w:rPr>
              <w:t>2.2</w:t>
            </w:r>
          </w:p>
        </w:tc>
        <w:tc>
          <w:tcPr>
            <w:tcW w:w="2062"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spacing w:after="0" w:line="240" w:lineRule="auto"/>
              <w:rPr>
                <w:rFonts w:ascii="Times New Roman" w:hAnsi="Times New Roman" w:cs="Times New Roman"/>
                <w:sz w:val="24"/>
                <w:szCs w:val="24"/>
              </w:rPr>
            </w:pPr>
            <w:r w:rsidRPr="0026062A">
              <w:rPr>
                <w:rFonts w:ascii="Times New Roman" w:hAnsi="Times New Roman" w:cs="Times New Roman"/>
                <w:sz w:val="24"/>
                <w:szCs w:val="24"/>
              </w:rPr>
              <w:t>Дмитренко</w:t>
            </w:r>
          </w:p>
          <w:p w:rsidR="009B06C9" w:rsidRPr="0026062A" w:rsidRDefault="009B06C9" w:rsidP="004B6E60">
            <w:pPr>
              <w:spacing w:after="0" w:line="240" w:lineRule="auto"/>
              <w:rPr>
                <w:rFonts w:ascii="Times New Roman" w:hAnsi="Times New Roman" w:cs="Times New Roman"/>
                <w:sz w:val="24"/>
                <w:szCs w:val="24"/>
              </w:rPr>
            </w:pPr>
            <w:r w:rsidRPr="0026062A">
              <w:rPr>
                <w:rFonts w:ascii="Times New Roman" w:hAnsi="Times New Roman" w:cs="Times New Roman"/>
                <w:sz w:val="24"/>
                <w:szCs w:val="24"/>
              </w:rPr>
              <w:t>Виктор</w:t>
            </w:r>
          </w:p>
          <w:p w:rsidR="009B06C9" w:rsidRPr="0026062A" w:rsidRDefault="009B06C9" w:rsidP="004B6E60">
            <w:pPr>
              <w:spacing w:after="0" w:line="240" w:lineRule="auto"/>
              <w:rPr>
                <w:rFonts w:ascii="Times New Roman" w:hAnsi="Times New Roman" w:cs="Times New Roman"/>
                <w:sz w:val="24"/>
                <w:szCs w:val="24"/>
              </w:rPr>
            </w:pPr>
            <w:r w:rsidRPr="0026062A">
              <w:rPr>
                <w:rFonts w:ascii="Times New Roman" w:hAnsi="Times New Roman" w:cs="Times New Roman"/>
                <w:sz w:val="24"/>
                <w:szCs w:val="24"/>
              </w:rPr>
              <w:t>Владимирович</w:t>
            </w:r>
          </w:p>
        </w:tc>
        <w:tc>
          <w:tcPr>
            <w:tcW w:w="2438"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spacing w:after="0" w:line="240" w:lineRule="auto"/>
              <w:rPr>
                <w:rFonts w:ascii="Times New Roman" w:hAnsi="Times New Roman" w:cs="Times New Roman"/>
                <w:sz w:val="24"/>
                <w:szCs w:val="24"/>
              </w:rPr>
            </w:pPr>
            <w:r w:rsidRPr="0026062A">
              <w:rPr>
                <w:rFonts w:ascii="Times New Roman" w:hAnsi="Times New Roman" w:cs="Times New Roman"/>
                <w:sz w:val="24"/>
                <w:szCs w:val="24"/>
              </w:rPr>
              <w:t>Заместитель начальника отдела</w:t>
            </w:r>
          </w:p>
        </w:tc>
        <w:tc>
          <w:tcPr>
            <w:tcW w:w="4500" w:type="dxa"/>
            <w:tcBorders>
              <w:top w:val="single" w:sz="4" w:space="0" w:color="auto"/>
              <w:left w:val="single" w:sz="4" w:space="0" w:color="auto"/>
              <w:bottom w:val="single" w:sz="4" w:space="0" w:color="auto"/>
              <w:right w:val="single" w:sz="4" w:space="0" w:color="auto"/>
            </w:tcBorders>
          </w:tcPr>
          <w:p w:rsidR="009B06C9" w:rsidRPr="0026062A" w:rsidRDefault="009B06C9" w:rsidP="004B6E60">
            <w:pPr>
              <w:widowControl w:val="0"/>
              <w:autoSpaceDE w:val="0"/>
              <w:autoSpaceDN w:val="0"/>
              <w:spacing w:after="0" w:line="240" w:lineRule="auto"/>
              <w:rPr>
                <w:rFonts w:ascii="Times New Roman" w:eastAsia="Times New Roman" w:hAnsi="Times New Roman" w:cs="Times New Roman"/>
                <w:sz w:val="24"/>
                <w:szCs w:val="24"/>
                <w:lang w:val="en-US" w:eastAsia="ru-RU"/>
              </w:rPr>
            </w:pPr>
            <w:r w:rsidRPr="0026062A">
              <w:rPr>
                <w:rFonts w:ascii="Times New Roman" w:eastAsia="Times New Roman" w:hAnsi="Times New Roman" w:cs="Times New Roman"/>
                <w:sz w:val="24"/>
                <w:szCs w:val="24"/>
                <w:lang w:eastAsia="ru-RU"/>
              </w:rPr>
              <w:t>Тел</w:t>
            </w:r>
            <w:r w:rsidRPr="0026062A">
              <w:rPr>
                <w:rFonts w:ascii="Times New Roman" w:eastAsia="Times New Roman" w:hAnsi="Times New Roman" w:cs="Times New Roman"/>
                <w:sz w:val="24"/>
                <w:szCs w:val="24"/>
                <w:lang w:val="en-US" w:eastAsia="ru-RU"/>
              </w:rPr>
              <w:t>. (383) 349-19-31</w:t>
            </w:r>
          </w:p>
          <w:p w:rsidR="009B06C9" w:rsidRPr="0026062A" w:rsidRDefault="002712C4" w:rsidP="004B6E60">
            <w:pPr>
              <w:spacing w:after="0" w:line="240" w:lineRule="auto"/>
              <w:rPr>
                <w:rFonts w:ascii="Times New Roman" w:hAnsi="Times New Roman" w:cs="Times New Roman"/>
                <w:sz w:val="24"/>
                <w:szCs w:val="24"/>
                <w:lang w:val="en-US"/>
              </w:rPr>
            </w:pPr>
            <w:hyperlink r:id="rId10" w:history="1">
              <w:r w:rsidR="009B06C9" w:rsidRPr="0026062A">
                <w:rPr>
                  <w:rStyle w:val="a9"/>
                  <w:rFonts w:ascii="Times New Roman" w:eastAsia="Times New Roman" w:hAnsi="Times New Roman" w:cs="Times New Roman"/>
                  <w:sz w:val="24"/>
                  <w:szCs w:val="24"/>
                  <w:lang w:val="en-US" w:eastAsia="ru-RU"/>
                </w:rPr>
                <w:t xml:space="preserve">e-mail: </w:t>
              </w:r>
            </w:hyperlink>
            <w:r w:rsidR="002171B0" w:rsidRPr="0026062A">
              <w:rPr>
                <w:sz w:val="24"/>
                <w:szCs w:val="24"/>
                <w:lang w:val="en-US"/>
              </w:rPr>
              <w:t xml:space="preserve"> </w:t>
            </w:r>
            <w:r w:rsidR="002171B0" w:rsidRPr="0026062A">
              <w:rPr>
                <w:rFonts w:ascii="Times New Roman" w:hAnsi="Times New Roman" w:cs="Times New Roman"/>
                <w:sz w:val="24"/>
                <w:szCs w:val="24"/>
                <w:lang w:val="en-US"/>
              </w:rPr>
              <w:t>mt-nadzor@zsib.gosnadzor.ru</w:t>
            </w:r>
          </w:p>
        </w:tc>
      </w:tr>
    </w:tbl>
    <w:p w:rsidR="004B6E60" w:rsidRDefault="004B6E60" w:rsidP="00596AB1">
      <w:pPr>
        <w:pStyle w:val="ConsPlusTitle"/>
        <w:spacing w:line="360" w:lineRule="auto"/>
        <w:ind w:firstLine="709"/>
        <w:jc w:val="center"/>
        <w:outlineLvl w:val="1"/>
      </w:pPr>
    </w:p>
    <w:p w:rsidR="001308F0" w:rsidRPr="0090622C" w:rsidRDefault="0090622C" w:rsidP="00596AB1">
      <w:pPr>
        <w:pStyle w:val="ConsPlusTitle"/>
        <w:spacing w:line="360" w:lineRule="auto"/>
        <w:ind w:firstLine="709"/>
        <w:jc w:val="center"/>
        <w:outlineLvl w:val="1"/>
      </w:pPr>
      <w:r w:rsidRPr="0090622C">
        <w:t>V. МЕХАНИЗМ ОЦЕНКИ ЭФФЕКТИВНОСТИ И РЕЗУЛЬТАТИВНОСТИ</w:t>
      </w:r>
      <w:r>
        <w:t xml:space="preserve"> </w:t>
      </w:r>
      <w:r w:rsidRPr="0090622C">
        <w:t>ПРОФИЛАКТИЧЕСКИХ МЕРОПРИЯТИЙ</w:t>
      </w:r>
    </w:p>
    <w:p w:rsidR="00521F2C" w:rsidRPr="00521F2C" w:rsidRDefault="00521F2C" w:rsidP="00596AB1">
      <w:pPr>
        <w:widowControl w:val="0"/>
        <w:autoSpaceDE w:val="0"/>
        <w:autoSpaceDN w:val="0"/>
        <w:spacing w:after="0" w:line="360" w:lineRule="auto"/>
        <w:ind w:firstLine="709"/>
        <w:jc w:val="both"/>
        <w:rPr>
          <w:rFonts w:ascii="Times New Roman" w:eastAsia="Times New Roman" w:hAnsi="Times New Roman" w:cs="Times New Roman"/>
          <w:sz w:val="28"/>
          <w:szCs w:val="20"/>
          <w:lang w:eastAsia="ru-RU"/>
        </w:rPr>
      </w:pPr>
      <w:r w:rsidRPr="00521F2C">
        <w:rPr>
          <w:rFonts w:ascii="Times New Roman" w:eastAsia="Times New Roman" w:hAnsi="Times New Roman" w:cs="Times New Roman"/>
          <w:sz w:val="28"/>
          <w:szCs w:val="20"/>
          <w:lang w:eastAsia="ru-RU"/>
        </w:rPr>
        <w:t xml:space="preserve">  Оценка эффективности и результативности профилактических мероприятий, проведенных </w:t>
      </w:r>
      <w:r w:rsidR="007C1066" w:rsidRPr="007C1066">
        <w:rPr>
          <w:rFonts w:ascii="Times New Roman" w:eastAsia="Times New Roman" w:hAnsi="Times New Roman" w:cs="Times New Roman"/>
          <w:sz w:val="28"/>
          <w:szCs w:val="20"/>
          <w:lang w:eastAsia="ru-RU"/>
        </w:rPr>
        <w:t>надзор</w:t>
      </w:r>
      <w:r w:rsidR="009B06C9">
        <w:rPr>
          <w:rFonts w:ascii="Times New Roman" w:eastAsia="Times New Roman" w:hAnsi="Times New Roman" w:cs="Times New Roman"/>
          <w:sz w:val="28"/>
          <w:szCs w:val="20"/>
          <w:lang w:eastAsia="ru-RU"/>
        </w:rPr>
        <w:t>ом</w:t>
      </w:r>
      <w:r w:rsidR="007C1066" w:rsidRPr="007C1066">
        <w:rPr>
          <w:rFonts w:ascii="Times New Roman" w:eastAsia="Times New Roman" w:hAnsi="Times New Roman" w:cs="Times New Roman"/>
          <w:sz w:val="28"/>
          <w:szCs w:val="20"/>
          <w:lang w:eastAsia="ru-RU"/>
        </w:rPr>
        <w:t xml:space="preserve"> за объект</w:t>
      </w:r>
      <w:r w:rsidR="009B06C9">
        <w:rPr>
          <w:rFonts w:ascii="Times New Roman" w:eastAsia="Times New Roman" w:hAnsi="Times New Roman" w:cs="Times New Roman"/>
          <w:sz w:val="28"/>
          <w:szCs w:val="20"/>
          <w:lang w:eastAsia="ru-RU"/>
        </w:rPr>
        <w:t xml:space="preserve">ами трубопроводного транспорта </w:t>
      </w:r>
      <w:r w:rsidR="007C1066" w:rsidRPr="007C1066">
        <w:rPr>
          <w:rFonts w:ascii="Times New Roman" w:eastAsia="Times New Roman" w:hAnsi="Times New Roman" w:cs="Times New Roman"/>
          <w:sz w:val="28"/>
          <w:szCs w:val="20"/>
          <w:lang w:eastAsia="ru-RU"/>
        </w:rPr>
        <w:t>Сибирского управления Ростехнадзора</w:t>
      </w:r>
      <w:r w:rsidRPr="00521F2C">
        <w:rPr>
          <w:rFonts w:ascii="Times New Roman" w:eastAsia="Times New Roman" w:hAnsi="Times New Roman" w:cs="Times New Roman"/>
          <w:sz w:val="28"/>
          <w:szCs w:val="20"/>
          <w:lang w:eastAsia="ru-RU"/>
        </w:rPr>
        <w:t>, осуществляется ежегодно по результатам контрольно-надзорной деятельности в сравнении с аналогичным периодом предыдущего года.</w:t>
      </w:r>
    </w:p>
    <w:p w:rsidR="0026062A" w:rsidRDefault="00521F2C" w:rsidP="00596AB1">
      <w:pPr>
        <w:widowControl w:val="0"/>
        <w:autoSpaceDE w:val="0"/>
        <w:autoSpaceDN w:val="0"/>
        <w:spacing w:after="0" w:line="360" w:lineRule="auto"/>
        <w:ind w:firstLine="709"/>
        <w:jc w:val="both"/>
        <w:rPr>
          <w:sz w:val="24"/>
          <w:szCs w:val="24"/>
        </w:rPr>
      </w:pPr>
      <w:r w:rsidRPr="00521F2C">
        <w:rPr>
          <w:rFonts w:ascii="Times New Roman" w:eastAsia="Times New Roman" w:hAnsi="Times New Roman" w:cs="Times New Roman"/>
          <w:sz w:val="28"/>
          <w:szCs w:val="20"/>
          <w:lang w:eastAsia="ru-RU"/>
        </w:rPr>
        <w:tab/>
        <w:t>Показатели оценки эффективности и результативности профилактических мероприятий приведены в приложении № 2 к настоящей П</w:t>
      </w:r>
      <w:r w:rsidR="009B06C9">
        <w:rPr>
          <w:rFonts w:ascii="Times New Roman" w:eastAsia="Times New Roman" w:hAnsi="Times New Roman" w:cs="Times New Roman"/>
          <w:sz w:val="28"/>
          <w:szCs w:val="20"/>
          <w:lang w:eastAsia="ru-RU"/>
        </w:rPr>
        <w:t>одп</w:t>
      </w:r>
      <w:r w:rsidRPr="00521F2C">
        <w:rPr>
          <w:rFonts w:ascii="Times New Roman" w:eastAsia="Times New Roman" w:hAnsi="Times New Roman" w:cs="Times New Roman"/>
          <w:sz w:val="28"/>
          <w:szCs w:val="20"/>
          <w:lang w:eastAsia="ru-RU"/>
        </w:rPr>
        <w:t>рограмме.</w:t>
      </w:r>
    </w:p>
    <w:p w:rsidR="0026062A" w:rsidRPr="0026062A" w:rsidRDefault="0026062A" w:rsidP="0026062A">
      <w:pPr>
        <w:rPr>
          <w:sz w:val="24"/>
          <w:szCs w:val="24"/>
        </w:rPr>
      </w:pPr>
    </w:p>
    <w:p w:rsidR="0026062A" w:rsidRDefault="0026062A" w:rsidP="0026062A">
      <w:pPr>
        <w:rPr>
          <w:sz w:val="24"/>
          <w:szCs w:val="24"/>
        </w:rPr>
      </w:pPr>
    </w:p>
    <w:p w:rsidR="0026062A" w:rsidRPr="0026062A" w:rsidRDefault="0026062A" w:rsidP="0026062A">
      <w:pPr>
        <w:tabs>
          <w:tab w:val="left" w:pos="8277"/>
        </w:tabs>
        <w:rPr>
          <w:rFonts w:ascii="Times New Roman" w:eastAsia="Calibri" w:hAnsi="Times New Roman" w:cs="Times New Roman"/>
          <w:sz w:val="28"/>
          <w:szCs w:val="28"/>
          <w:lang w:eastAsia="ru-RU"/>
        </w:rPr>
      </w:pPr>
    </w:p>
    <w:p w:rsidR="0026062A" w:rsidRDefault="0026062A" w:rsidP="0026062A">
      <w:pPr>
        <w:rPr>
          <w:sz w:val="24"/>
          <w:szCs w:val="24"/>
        </w:rPr>
      </w:pPr>
    </w:p>
    <w:p w:rsidR="0026062A" w:rsidRDefault="0026062A" w:rsidP="0026062A">
      <w:pPr>
        <w:rPr>
          <w:sz w:val="24"/>
          <w:szCs w:val="24"/>
        </w:rPr>
      </w:pPr>
    </w:p>
    <w:p w:rsidR="007C1066" w:rsidRPr="0026062A" w:rsidRDefault="007C1066" w:rsidP="0026062A">
      <w:pPr>
        <w:rPr>
          <w:sz w:val="24"/>
          <w:szCs w:val="24"/>
        </w:rPr>
        <w:sectPr w:rsidR="007C1066" w:rsidRPr="0026062A" w:rsidSect="00104FB7">
          <w:headerReference w:type="default" r:id="rId11"/>
          <w:pgSz w:w="11906" w:h="16838"/>
          <w:pgMar w:top="1134" w:right="850" w:bottom="1134" w:left="1418" w:header="426" w:footer="708" w:gutter="0"/>
          <w:cols w:space="708"/>
          <w:titlePg/>
          <w:docGrid w:linePitch="360"/>
        </w:sectPr>
      </w:pPr>
    </w:p>
    <w:p w:rsidR="000572EE" w:rsidRPr="000572EE" w:rsidRDefault="000572EE" w:rsidP="000572EE">
      <w:pPr>
        <w:spacing w:after="0" w:line="240" w:lineRule="auto"/>
        <w:jc w:val="right"/>
        <w:rPr>
          <w:rFonts w:ascii="Times New Roman" w:eastAsia="Times New Roman" w:hAnsi="Times New Roman" w:cs="Times New Roman"/>
          <w:sz w:val="24"/>
          <w:szCs w:val="24"/>
          <w:lang w:eastAsia="ru-RU"/>
        </w:rPr>
      </w:pPr>
      <w:bookmarkStart w:id="0" w:name="_GoBack"/>
      <w:bookmarkEnd w:id="0"/>
      <w:r w:rsidRPr="000572EE">
        <w:rPr>
          <w:rFonts w:ascii="Times New Roman" w:eastAsia="Times New Roman" w:hAnsi="Times New Roman" w:cs="Times New Roman"/>
          <w:sz w:val="24"/>
          <w:szCs w:val="24"/>
          <w:lang w:eastAsia="ru-RU"/>
        </w:rPr>
        <w:lastRenderedPageBreak/>
        <w:t>Приложение № 2</w:t>
      </w:r>
    </w:p>
    <w:p w:rsidR="000572EE" w:rsidRPr="000572EE" w:rsidRDefault="000572EE" w:rsidP="000572EE">
      <w:pPr>
        <w:spacing w:after="0" w:line="240" w:lineRule="auto"/>
        <w:jc w:val="right"/>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 xml:space="preserve">к </w:t>
      </w:r>
      <w:r w:rsidR="009B06C9">
        <w:rPr>
          <w:rFonts w:ascii="Times New Roman" w:eastAsia="Times New Roman" w:hAnsi="Times New Roman" w:cs="Times New Roman"/>
          <w:sz w:val="24"/>
          <w:szCs w:val="24"/>
          <w:lang w:eastAsia="ru-RU"/>
        </w:rPr>
        <w:t>под</w:t>
      </w:r>
      <w:r w:rsidRPr="000572EE">
        <w:rPr>
          <w:rFonts w:ascii="Times New Roman" w:eastAsia="Times New Roman" w:hAnsi="Times New Roman" w:cs="Times New Roman"/>
          <w:sz w:val="24"/>
          <w:szCs w:val="24"/>
          <w:lang w:eastAsia="ru-RU"/>
        </w:rPr>
        <w:t>программе профилактики</w:t>
      </w:r>
    </w:p>
    <w:p w:rsidR="000572EE" w:rsidRPr="000572EE" w:rsidRDefault="000572EE" w:rsidP="000572EE">
      <w:pPr>
        <w:spacing w:after="0" w:line="240" w:lineRule="auto"/>
        <w:jc w:val="right"/>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нарушений обязательных требований</w:t>
      </w:r>
    </w:p>
    <w:p w:rsidR="00AE6926" w:rsidRDefault="004B0BC5" w:rsidP="004B0BC5">
      <w:pPr>
        <w:spacing w:before="240"/>
        <w:jc w:val="center"/>
        <w:rPr>
          <w:rFonts w:ascii="Times New Roman" w:hAnsi="Times New Roman" w:cs="Times New Roman"/>
          <w:b/>
          <w:sz w:val="28"/>
          <w:szCs w:val="28"/>
        </w:rPr>
      </w:pPr>
      <w:r w:rsidRPr="004B0BC5">
        <w:rPr>
          <w:rFonts w:ascii="Times New Roman" w:hAnsi="Times New Roman" w:cs="Times New Roman"/>
          <w:b/>
          <w:sz w:val="28"/>
          <w:szCs w:val="28"/>
        </w:rPr>
        <w:t>МЕТОДИКА ОЦЕНКИ ЭФФЕКТИВНОСТИ И РЕЗУЛЬТАТИВНОСТИ ПРОФИЛАКТИЧЕСКИХ МЕРОПРИЯТИЙ</w:t>
      </w:r>
    </w:p>
    <w:tbl>
      <w:tblPr>
        <w:tblStyle w:val="1"/>
        <w:tblW w:w="0" w:type="auto"/>
        <w:tblInd w:w="-34" w:type="dxa"/>
        <w:tblLook w:val="04A0" w:firstRow="1" w:lastRow="0" w:firstColumn="1" w:lastColumn="0" w:noHBand="0" w:noVBand="1"/>
      </w:tblPr>
      <w:tblGrid>
        <w:gridCol w:w="635"/>
        <w:gridCol w:w="6718"/>
        <w:gridCol w:w="3827"/>
        <w:gridCol w:w="3640"/>
      </w:tblGrid>
      <w:tr w:rsidR="000572EE" w:rsidRPr="000572EE" w:rsidTr="000572EE">
        <w:trPr>
          <w:trHeight w:val="413"/>
        </w:trPr>
        <w:tc>
          <w:tcPr>
            <w:tcW w:w="644" w:type="dxa"/>
            <w:vMerge w:val="restart"/>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 xml:space="preserve">№ </w:t>
            </w:r>
            <w:proofErr w:type="gramStart"/>
            <w:r w:rsidRPr="000572EE">
              <w:rPr>
                <w:rFonts w:ascii="Times New Roman" w:hAnsi="Times New Roman"/>
                <w:i/>
                <w:sz w:val="24"/>
                <w:szCs w:val="24"/>
              </w:rPr>
              <w:t>п</w:t>
            </w:r>
            <w:proofErr w:type="gramEnd"/>
            <w:r w:rsidRPr="000572EE">
              <w:rPr>
                <w:rFonts w:ascii="Times New Roman" w:hAnsi="Times New Roman"/>
                <w:i/>
                <w:sz w:val="24"/>
                <w:szCs w:val="24"/>
              </w:rPr>
              <w:t>/п</w:t>
            </w:r>
          </w:p>
        </w:tc>
        <w:tc>
          <w:tcPr>
            <w:tcW w:w="7025" w:type="dxa"/>
            <w:vMerge w:val="restart"/>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i/>
                <w:sz w:val="24"/>
                <w:szCs w:val="24"/>
              </w:rPr>
              <w:t>Реализованные мероприятия</w:t>
            </w:r>
          </w:p>
        </w:tc>
        <w:tc>
          <w:tcPr>
            <w:tcW w:w="7717" w:type="dxa"/>
            <w:gridSpan w:val="2"/>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Конечные результаты</w:t>
            </w:r>
          </w:p>
        </w:tc>
      </w:tr>
      <w:tr w:rsidR="000572EE" w:rsidRPr="000572EE" w:rsidTr="000572EE">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Экономический эффект</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Социальный эффект</w:t>
            </w:r>
          </w:p>
        </w:tc>
      </w:tr>
      <w:tr w:rsidR="000572EE" w:rsidRPr="000572EE" w:rsidTr="000572EE">
        <w:trPr>
          <w:trHeight w:val="421"/>
        </w:trPr>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1</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9B06C9">
            <w:pPr>
              <w:rPr>
                <w:rFonts w:ascii="Times New Roman" w:eastAsia="Times New Roman" w:hAnsi="Times New Roman"/>
                <w:sz w:val="24"/>
                <w:szCs w:val="24"/>
              </w:rPr>
            </w:pPr>
            <w:r w:rsidRPr="000572EE">
              <w:rPr>
                <w:rFonts w:ascii="Times New Roman" w:hAnsi="Times New Roman"/>
                <w:sz w:val="24"/>
                <w:szCs w:val="24"/>
              </w:rPr>
              <w:t>Проведение  контрольно-надзорных мероприятий</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статистика выявленных нарушений и применение мер административной ответственности</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выявление причин, способствующих нарушению обязательных требований, снижение рисков их возникновения.</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Публикация в информационно-телекоммуникационной сети «Интернет» в открытом доступе на официальном сайте Управления:</w:t>
            </w:r>
          </w:p>
        </w:tc>
        <w:tc>
          <w:tcPr>
            <w:tcW w:w="3955" w:type="dxa"/>
            <w:tcBorders>
              <w:top w:val="single" w:sz="4" w:space="0" w:color="auto"/>
              <w:left w:val="single" w:sz="4" w:space="0" w:color="auto"/>
              <w:bottom w:val="single" w:sz="4" w:space="0" w:color="auto"/>
              <w:right w:val="single" w:sz="4" w:space="0" w:color="auto"/>
            </w:tcBorders>
            <w:vAlign w:val="center"/>
          </w:tcPr>
          <w:p w:rsidR="000572EE" w:rsidRPr="000572EE" w:rsidRDefault="000572EE" w:rsidP="000572EE">
            <w:pPr>
              <w:rPr>
                <w:rFonts w:ascii="Times New Roman" w:eastAsia="Times New Roman" w:hAnsi="Times New Roman"/>
                <w:sz w:val="24"/>
                <w:szCs w:val="24"/>
              </w:rPr>
            </w:pPr>
          </w:p>
        </w:tc>
        <w:tc>
          <w:tcPr>
            <w:tcW w:w="3762" w:type="dxa"/>
            <w:tcBorders>
              <w:top w:val="single" w:sz="4" w:space="0" w:color="auto"/>
              <w:left w:val="single" w:sz="4" w:space="0" w:color="auto"/>
              <w:bottom w:val="single" w:sz="4" w:space="0" w:color="auto"/>
              <w:right w:val="single" w:sz="4" w:space="0" w:color="auto"/>
            </w:tcBorders>
            <w:vAlign w:val="center"/>
          </w:tcPr>
          <w:p w:rsidR="000572EE" w:rsidRPr="000572EE" w:rsidRDefault="000572EE" w:rsidP="000572EE">
            <w:pPr>
              <w:rPr>
                <w:rFonts w:ascii="Times New Roman" w:eastAsia="Times New Roman" w:hAnsi="Times New Roman"/>
                <w:sz w:val="24"/>
                <w:szCs w:val="24"/>
              </w:rPr>
            </w:pP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2.1</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нормативных правовых актов разработанных в рамках деятельности;</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уровня правовой грамотности подконтрольных субъектов</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2.2</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ежеквартальных докладов по правоприменительной практике;</w:t>
            </w:r>
          </w:p>
        </w:tc>
        <w:tc>
          <w:tcPr>
            <w:tcW w:w="3955"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уровня доверия подконтрольных субъектов к деятельности Управления</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2.3</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результатов проведенных публичных обсуждений;</w:t>
            </w:r>
          </w:p>
        </w:tc>
        <w:tc>
          <w:tcPr>
            <w:tcW w:w="3955"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«прозрачности» деятельности Управления при осуществлении государственного контроля (надзора)</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2.4</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информации о проведенных обучающих семинарах;</w:t>
            </w:r>
          </w:p>
        </w:tc>
        <w:tc>
          <w:tcPr>
            <w:tcW w:w="3955"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уровня правовой грамотности подконтрольных субъектов</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2.5</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информации о проведенных контрольно-надзорных мероприятиях</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качества обследования поднадзорных организаций</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 xml:space="preserve">повышение «прозрачности» деятельности Управления при </w:t>
            </w:r>
            <w:r w:rsidRPr="000572EE">
              <w:rPr>
                <w:rFonts w:ascii="Times New Roman" w:hAnsi="Times New Roman"/>
                <w:sz w:val="24"/>
                <w:szCs w:val="24"/>
              </w:rPr>
              <w:lastRenderedPageBreak/>
              <w:t>осуществлении государственного контроля (надзора)</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lastRenderedPageBreak/>
              <w:t>2.6</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информации об аварийности на подконтрольных объектах</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профилактика аварийности и снижение уровня смертельного травматизма на поднадзорных предприятиях</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«прозрачности» деятельности Управления при осуществлении государственного контроля (надзора)</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3</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Внесение сведений о контрольно-надзорных мероприятиях в ФГИС ЕРП</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качества проверок и их объективности</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«прозрачности» деятельности Управления при осуществлении государственного контроля (надзора)</w:t>
            </w:r>
          </w:p>
        </w:tc>
      </w:tr>
    </w:tbl>
    <w:p w:rsidR="007814D5" w:rsidRDefault="007814D5" w:rsidP="000572EE">
      <w:pPr>
        <w:spacing w:after="0" w:line="360" w:lineRule="auto"/>
        <w:ind w:firstLine="709"/>
        <w:jc w:val="both"/>
        <w:rPr>
          <w:rFonts w:ascii="Times New Roman" w:hAnsi="Times New Roman" w:cs="Times New Roman"/>
          <w:sz w:val="28"/>
          <w:szCs w:val="28"/>
        </w:rPr>
      </w:pPr>
    </w:p>
    <w:sectPr w:rsidR="007814D5" w:rsidSect="007C1066">
      <w:pgSz w:w="16838" w:h="11906" w:orient="landscape"/>
      <w:pgMar w:top="1418" w:right="1134" w:bottom="850"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C4" w:rsidRDefault="002712C4" w:rsidP="00104FB7">
      <w:pPr>
        <w:spacing w:after="0" w:line="240" w:lineRule="auto"/>
      </w:pPr>
      <w:r>
        <w:separator/>
      </w:r>
    </w:p>
  </w:endnote>
  <w:endnote w:type="continuationSeparator" w:id="0">
    <w:p w:rsidR="002712C4" w:rsidRDefault="002712C4" w:rsidP="0010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C4" w:rsidRDefault="002712C4" w:rsidP="00104FB7">
      <w:pPr>
        <w:spacing w:after="0" w:line="240" w:lineRule="auto"/>
      </w:pPr>
      <w:r>
        <w:separator/>
      </w:r>
    </w:p>
  </w:footnote>
  <w:footnote w:type="continuationSeparator" w:id="0">
    <w:p w:rsidR="002712C4" w:rsidRDefault="002712C4" w:rsidP="0010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52" w:rsidRDefault="002A0C52">
    <w:pPr>
      <w:pStyle w:val="a5"/>
      <w:jc w:val="center"/>
    </w:pPr>
  </w:p>
  <w:p w:rsidR="002A0C52" w:rsidRDefault="002A0C5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779"/>
    <w:multiLevelType w:val="hybridMultilevel"/>
    <w:tmpl w:val="6A1C3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1D62AD"/>
    <w:multiLevelType w:val="hybridMultilevel"/>
    <w:tmpl w:val="A764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5E6D"/>
    <w:multiLevelType w:val="hybridMultilevel"/>
    <w:tmpl w:val="7FC4FBE0"/>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D73C8"/>
    <w:multiLevelType w:val="hybridMultilevel"/>
    <w:tmpl w:val="29AC3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F02E3"/>
    <w:multiLevelType w:val="hybridMultilevel"/>
    <w:tmpl w:val="72E2B8A4"/>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E6"/>
    <w:rsid w:val="00037DF0"/>
    <w:rsid w:val="000469D1"/>
    <w:rsid w:val="000572EE"/>
    <w:rsid w:val="000947A9"/>
    <w:rsid w:val="00097674"/>
    <w:rsid w:val="000A2A0A"/>
    <w:rsid w:val="000B7859"/>
    <w:rsid w:val="00104FB7"/>
    <w:rsid w:val="001111A7"/>
    <w:rsid w:val="001308F0"/>
    <w:rsid w:val="001636B6"/>
    <w:rsid w:val="001E2279"/>
    <w:rsid w:val="002038BE"/>
    <w:rsid w:val="002171B0"/>
    <w:rsid w:val="0026062A"/>
    <w:rsid w:val="00265C78"/>
    <w:rsid w:val="002712C4"/>
    <w:rsid w:val="0029147F"/>
    <w:rsid w:val="00292EBE"/>
    <w:rsid w:val="002A0C52"/>
    <w:rsid w:val="002E247C"/>
    <w:rsid w:val="00333737"/>
    <w:rsid w:val="003530B8"/>
    <w:rsid w:val="003648B1"/>
    <w:rsid w:val="003934DA"/>
    <w:rsid w:val="003D53A9"/>
    <w:rsid w:val="00431009"/>
    <w:rsid w:val="0045124D"/>
    <w:rsid w:val="00454FE4"/>
    <w:rsid w:val="00473E33"/>
    <w:rsid w:val="00475425"/>
    <w:rsid w:val="00475864"/>
    <w:rsid w:val="004B0BC5"/>
    <w:rsid w:val="004B6E60"/>
    <w:rsid w:val="004D2FDF"/>
    <w:rsid w:val="00504550"/>
    <w:rsid w:val="0050526A"/>
    <w:rsid w:val="00521F2C"/>
    <w:rsid w:val="00535C2F"/>
    <w:rsid w:val="005415B7"/>
    <w:rsid w:val="00562338"/>
    <w:rsid w:val="005634B4"/>
    <w:rsid w:val="0059627F"/>
    <w:rsid w:val="00596AB1"/>
    <w:rsid w:val="005A121F"/>
    <w:rsid w:val="006150E6"/>
    <w:rsid w:val="0066261F"/>
    <w:rsid w:val="006A7FA7"/>
    <w:rsid w:val="00733AAF"/>
    <w:rsid w:val="007515EA"/>
    <w:rsid w:val="007814D5"/>
    <w:rsid w:val="0078161C"/>
    <w:rsid w:val="007A0D48"/>
    <w:rsid w:val="007C1066"/>
    <w:rsid w:val="007D160E"/>
    <w:rsid w:val="007D74C0"/>
    <w:rsid w:val="00811ABD"/>
    <w:rsid w:val="00876362"/>
    <w:rsid w:val="0087637D"/>
    <w:rsid w:val="008D7661"/>
    <w:rsid w:val="008F5EA0"/>
    <w:rsid w:val="0090622C"/>
    <w:rsid w:val="00914A5F"/>
    <w:rsid w:val="0092751A"/>
    <w:rsid w:val="00934D14"/>
    <w:rsid w:val="00961A77"/>
    <w:rsid w:val="009B06C9"/>
    <w:rsid w:val="009D0FA7"/>
    <w:rsid w:val="009D4FEB"/>
    <w:rsid w:val="009F5923"/>
    <w:rsid w:val="00A009C7"/>
    <w:rsid w:val="00A13588"/>
    <w:rsid w:val="00A34AE8"/>
    <w:rsid w:val="00A9260C"/>
    <w:rsid w:val="00AA72A9"/>
    <w:rsid w:val="00AB145F"/>
    <w:rsid w:val="00AB33DB"/>
    <w:rsid w:val="00AB49F4"/>
    <w:rsid w:val="00AC7F97"/>
    <w:rsid w:val="00AD30AC"/>
    <w:rsid w:val="00AD40EA"/>
    <w:rsid w:val="00AE6926"/>
    <w:rsid w:val="00B133C1"/>
    <w:rsid w:val="00B313F1"/>
    <w:rsid w:val="00B31FF7"/>
    <w:rsid w:val="00B61D01"/>
    <w:rsid w:val="00B722B0"/>
    <w:rsid w:val="00B7611F"/>
    <w:rsid w:val="00C04D70"/>
    <w:rsid w:val="00C131DD"/>
    <w:rsid w:val="00C246CA"/>
    <w:rsid w:val="00C37551"/>
    <w:rsid w:val="00C84153"/>
    <w:rsid w:val="00C92737"/>
    <w:rsid w:val="00CF1764"/>
    <w:rsid w:val="00CF68D1"/>
    <w:rsid w:val="00D413EF"/>
    <w:rsid w:val="00D72381"/>
    <w:rsid w:val="00DA193C"/>
    <w:rsid w:val="00DC2D39"/>
    <w:rsid w:val="00E24939"/>
    <w:rsid w:val="00EC639E"/>
    <w:rsid w:val="00EE4D7E"/>
    <w:rsid w:val="00EE7FC6"/>
    <w:rsid w:val="00EF5954"/>
    <w:rsid w:val="00F10CC7"/>
    <w:rsid w:val="00F43A7B"/>
    <w:rsid w:val="00FA3451"/>
    <w:rsid w:val="00FB5EAA"/>
    <w:rsid w:val="00FC23BF"/>
    <w:rsid w:val="00FC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0">
      <w:bodyDiv w:val="1"/>
      <w:marLeft w:val="0"/>
      <w:marRight w:val="0"/>
      <w:marTop w:val="0"/>
      <w:marBottom w:val="0"/>
      <w:divBdr>
        <w:top w:val="none" w:sz="0" w:space="0" w:color="auto"/>
        <w:left w:val="none" w:sz="0" w:space="0" w:color="auto"/>
        <w:bottom w:val="none" w:sz="0" w:space="0" w:color="auto"/>
        <w:right w:val="none" w:sz="0" w:space="0" w:color="auto"/>
      </w:divBdr>
    </w:div>
    <w:div w:id="110518819">
      <w:bodyDiv w:val="1"/>
      <w:marLeft w:val="0"/>
      <w:marRight w:val="0"/>
      <w:marTop w:val="0"/>
      <w:marBottom w:val="0"/>
      <w:divBdr>
        <w:top w:val="none" w:sz="0" w:space="0" w:color="auto"/>
        <w:left w:val="none" w:sz="0" w:space="0" w:color="auto"/>
        <w:bottom w:val="none" w:sz="0" w:space="0" w:color="auto"/>
        <w:right w:val="none" w:sz="0" w:space="0" w:color="auto"/>
      </w:divBdr>
    </w:div>
    <w:div w:id="136067318">
      <w:bodyDiv w:val="1"/>
      <w:marLeft w:val="0"/>
      <w:marRight w:val="0"/>
      <w:marTop w:val="0"/>
      <w:marBottom w:val="0"/>
      <w:divBdr>
        <w:top w:val="none" w:sz="0" w:space="0" w:color="auto"/>
        <w:left w:val="none" w:sz="0" w:space="0" w:color="auto"/>
        <w:bottom w:val="none" w:sz="0" w:space="0" w:color="auto"/>
        <w:right w:val="none" w:sz="0" w:space="0" w:color="auto"/>
      </w:divBdr>
    </w:div>
    <w:div w:id="187719798">
      <w:bodyDiv w:val="1"/>
      <w:marLeft w:val="0"/>
      <w:marRight w:val="0"/>
      <w:marTop w:val="0"/>
      <w:marBottom w:val="0"/>
      <w:divBdr>
        <w:top w:val="none" w:sz="0" w:space="0" w:color="auto"/>
        <w:left w:val="none" w:sz="0" w:space="0" w:color="auto"/>
        <w:bottom w:val="none" w:sz="0" w:space="0" w:color="auto"/>
        <w:right w:val="none" w:sz="0" w:space="0" w:color="auto"/>
      </w:divBdr>
      <w:divsChild>
        <w:div w:id="1202858150">
          <w:marLeft w:val="547"/>
          <w:marRight w:val="0"/>
          <w:marTop w:val="0"/>
          <w:marBottom w:val="240"/>
          <w:divBdr>
            <w:top w:val="none" w:sz="0" w:space="0" w:color="auto"/>
            <w:left w:val="none" w:sz="0" w:space="0" w:color="auto"/>
            <w:bottom w:val="none" w:sz="0" w:space="0" w:color="auto"/>
            <w:right w:val="none" w:sz="0" w:space="0" w:color="auto"/>
          </w:divBdr>
        </w:div>
      </w:divsChild>
    </w:div>
    <w:div w:id="227035911">
      <w:bodyDiv w:val="1"/>
      <w:marLeft w:val="0"/>
      <w:marRight w:val="0"/>
      <w:marTop w:val="0"/>
      <w:marBottom w:val="0"/>
      <w:divBdr>
        <w:top w:val="none" w:sz="0" w:space="0" w:color="auto"/>
        <w:left w:val="none" w:sz="0" w:space="0" w:color="auto"/>
        <w:bottom w:val="none" w:sz="0" w:space="0" w:color="auto"/>
        <w:right w:val="none" w:sz="0" w:space="0" w:color="auto"/>
      </w:divBdr>
    </w:div>
    <w:div w:id="254899621">
      <w:bodyDiv w:val="1"/>
      <w:marLeft w:val="0"/>
      <w:marRight w:val="0"/>
      <w:marTop w:val="0"/>
      <w:marBottom w:val="0"/>
      <w:divBdr>
        <w:top w:val="none" w:sz="0" w:space="0" w:color="auto"/>
        <w:left w:val="none" w:sz="0" w:space="0" w:color="auto"/>
        <w:bottom w:val="none" w:sz="0" w:space="0" w:color="auto"/>
        <w:right w:val="none" w:sz="0" w:space="0" w:color="auto"/>
      </w:divBdr>
    </w:div>
    <w:div w:id="308436439">
      <w:bodyDiv w:val="1"/>
      <w:marLeft w:val="0"/>
      <w:marRight w:val="0"/>
      <w:marTop w:val="0"/>
      <w:marBottom w:val="0"/>
      <w:divBdr>
        <w:top w:val="none" w:sz="0" w:space="0" w:color="auto"/>
        <w:left w:val="none" w:sz="0" w:space="0" w:color="auto"/>
        <w:bottom w:val="none" w:sz="0" w:space="0" w:color="auto"/>
        <w:right w:val="none" w:sz="0" w:space="0" w:color="auto"/>
      </w:divBdr>
    </w:div>
    <w:div w:id="536237424">
      <w:bodyDiv w:val="1"/>
      <w:marLeft w:val="0"/>
      <w:marRight w:val="0"/>
      <w:marTop w:val="0"/>
      <w:marBottom w:val="0"/>
      <w:divBdr>
        <w:top w:val="none" w:sz="0" w:space="0" w:color="auto"/>
        <w:left w:val="none" w:sz="0" w:space="0" w:color="auto"/>
        <w:bottom w:val="none" w:sz="0" w:space="0" w:color="auto"/>
        <w:right w:val="none" w:sz="0" w:space="0" w:color="auto"/>
      </w:divBdr>
    </w:div>
    <w:div w:id="788084979">
      <w:bodyDiv w:val="1"/>
      <w:marLeft w:val="0"/>
      <w:marRight w:val="0"/>
      <w:marTop w:val="0"/>
      <w:marBottom w:val="0"/>
      <w:divBdr>
        <w:top w:val="none" w:sz="0" w:space="0" w:color="auto"/>
        <w:left w:val="none" w:sz="0" w:space="0" w:color="auto"/>
        <w:bottom w:val="none" w:sz="0" w:space="0" w:color="auto"/>
        <w:right w:val="none" w:sz="0" w:space="0" w:color="auto"/>
      </w:divBdr>
    </w:div>
    <w:div w:id="997273150">
      <w:bodyDiv w:val="1"/>
      <w:marLeft w:val="0"/>
      <w:marRight w:val="0"/>
      <w:marTop w:val="0"/>
      <w:marBottom w:val="0"/>
      <w:divBdr>
        <w:top w:val="none" w:sz="0" w:space="0" w:color="auto"/>
        <w:left w:val="none" w:sz="0" w:space="0" w:color="auto"/>
        <w:bottom w:val="none" w:sz="0" w:space="0" w:color="auto"/>
        <w:right w:val="none" w:sz="0" w:space="0" w:color="auto"/>
      </w:divBdr>
    </w:div>
    <w:div w:id="1057433218">
      <w:bodyDiv w:val="1"/>
      <w:marLeft w:val="0"/>
      <w:marRight w:val="0"/>
      <w:marTop w:val="0"/>
      <w:marBottom w:val="0"/>
      <w:divBdr>
        <w:top w:val="none" w:sz="0" w:space="0" w:color="auto"/>
        <w:left w:val="none" w:sz="0" w:space="0" w:color="auto"/>
        <w:bottom w:val="none" w:sz="0" w:space="0" w:color="auto"/>
        <w:right w:val="none" w:sz="0" w:space="0" w:color="auto"/>
      </w:divBdr>
    </w:div>
    <w:div w:id="1203709932">
      <w:bodyDiv w:val="1"/>
      <w:marLeft w:val="0"/>
      <w:marRight w:val="0"/>
      <w:marTop w:val="0"/>
      <w:marBottom w:val="0"/>
      <w:divBdr>
        <w:top w:val="none" w:sz="0" w:space="0" w:color="auto"/>
        <w:left w:val="none" w:sz="0" w:space="0" w:color="auto"/>
        <w:bottom w:val="none" w:sz="0" w:space="0" w:color="auto"/>
        <w:right w:val="none" w:sz="0" w:space="0" w:color="auto"/>
      </w:divBdr>
      <w:divsChild>
        <w:div w:id="417482093">
          <w:marLeft w:val="547"/>
          <w:marRight w:val="0"/>
          <w:marTop w:val="0"/>
          <w:marBottom w:val="240"/>
          <w:divBdr>
            <w:top w:val="none" w:sz="0" w:space="0" w:color="auto"/>
            <w:left w:val="none" w:sz="0" w:space="0" w:color="auto"/>
            <w:bottom w:val="none" w:sz="0" w:space="0" w:color="auto"/>
            <w:right w:val="none" w:sz="0" w:space="0" w:color="auto"/>
          </w:divBdr>
        </w:div>
        <w:div w:id="731584778">
          <w:marLeft w:val="547"/>
          <w:marRight w:val="0"/>
          <w:marTop w:val="0"/>
          <w:marBottom w:val="240"/>
          <w:divBdr>
            <w:top w:val="none" w:sz="0" w:space="0" w:color="auto"/>
            <w:left w:val="none" w:sz="0" w:space="0" w:color="auto"/>
            <w:bottom w:val="none" w:sz="0" w:space="0" w:color="auto"/>
            <w:right w:val="none" w:sz="0" w:space="0" w:color="auto"/>
          </w:divBdr>
        </w:div>
        <w:div w:id="1234967976">
          <w:marLeft w:val="547"/>
          <w:marRight w:val="0"/>
          <w:marTop w:val="0"/>
          <w:marBottom w:val="240"/>
          <w:divBdr>
            <w:top w:val="none" w:sz="0" w:space="0" w:color="auto"/>
            <w:left w:val="none" w:sz="0" w:space="0" w:color="auto"/>
            <w:bottom w:val="none" w:sz="0" w:space="0" w:color="auto"/>
            <w:right w:val="none" w:sz="0" w:space="0" w:color="auto"/>
          </w:divBdr>
        </w:div>
        <w:div w:id="12809269">
          <w:marLeft w:val="547"/>
          <w:marRight w:val="0"/>
          <w:marTop w:val="0"/>
          <w:marBottom w:val="240"/>
          <w:divBdr>
            <w:top w:val="none" w:sz="0" w:space="0" w:color="auto"/>
            <w:left w:val="none" w:sz="0" w:space="0" w:color="auto"/>
            <w:bottom w:val="none" w:sz="0" w:space="0" w:color="auto"/>
            <w:right w:val="none" w:sz="0" w:space="0" w:color="auto"/>
          </w:divBdr>
        </w:div>
      </w:divsChild>
    </w:div>
    <w:div w:id="1204636081">
      <w:bodyDiv w:val="1"/>
      <w:marLeft w:val="0"/>
      <w:marRight w:val="0"/>
      <w:marTop w:val="0"/>
      <w:marBottom w:val="0"/>
      <w:divBdr>
        <w:top w:val="none" w:sz="0" w:space="0" w:color="auto"/>
        <w:left w:val="none" w:sz="0" w:space="0" w:color="auto"/>
        <w:bottom w:val="none" w:sz="0" w:space="0" w:color="auto"/>
        <w:right w:val="none" w:sz="0" w:space="0" w:color="auto"/>
      </w:divBdr>
    </w:div>
    <w:div w:id="1402828103">
      <w:bodyDiv w:val="1"/>
      <w:marLeft w:val="0"/>
      <w:marRight w:val="0"/>
      <w:marTop w:val="0"/>
      <w:marBottom w:val="0"/>
      <w:divBdr>
        <w:top w:val="none" w:sz="0" w:space="0" w:color="auto"/>
        <w:left w:val="none" w:sz="0" w:space="0" w:color="auto"/>
        <w:bottom w:val="none" w:sz="0" w:space="0" w:color="auto"/>
        <w:right w:val="none" w:sz="0" w:space="0" w:color="auto"/>
      </w:divBdr>
      <w:divsChild>
        <w:div w:id="12651993">
          <w:marLeft w:val="547"/>
          <w:marRight w:val="0"/>
          <w:marTop w:val="0"/>
          <w:marBottom w:val="240"/>
          <w:divBdr>
            <w:top w:val="none" w:sz="0" w:space="0" w:color="auto"/>
            <w:left w:val="none" w:sz="0" w:space="0" w:color="auto"/>
            <w:bottom w:val="none" w:sz="0" w:space="0" w:color="auto"/>
            <w:right w:val="none" w:sz="0" w:space="0" w:color="auto"/>
          </w:divBdr>
        </w:div>
        <w:div w:id="1012686985">
          <w:marLeft w:val="547"/>
          <w:marRight w:val="0"/>
          <w:marTop w:val="0"/>
          <w:marBottom w:val="240"/>
          <w:divBdr>
            <w:top w:val="none" w:sz="0" w:space="0" w:color="auto"/>
            <w:left w:val="none" w:sz="0" w:space="0" w:color="auto"/>
            <w:bottom w:val="none" w:sz="0" w:space="0" w:color="auto"/>
            <w:right w:val="none" w:sz="0" w:space="0" w:color="auto"/>
          </w:divBdr>
        </w:div>
        <w:div w:id="2046828023">
          <w:marLeft w:val="547"/>
          <w:marRight w:val="0"/>
          <w:marTop w:val="0"/>
          <w:marBottom w:val="240"/>
          <w:divBdr>
            <w:top w:val="none" w:sz="0" w:space="0" w:color="auto"/>
            <w:left w:val="none" w:sz="0" w:space="0" w:color="auto"/>
            <w:bottom w:val="none" w:sz="0" w:space="0" w:color="auto"/>
            <w:right w:val="none" w:sz="0" w:space="0" w:color="auto"/>
          </w:divBdr>
        </w:div>
        <w:div w:id="426001658">
          <w:marLeft w:val="547"/>
          <w:marRight w:val="0"/>
          <w:marTop w:val="0"/>
          <w:marBottom w:val="240"/>
          <w:divBdr>
            <w:top w:val="none" w:sz="0" w:space="0" w:color="auto"/>
            <w:left w:val="none" w:sz="0" w:space="0" w:color="auto"/>
            <w:bottom w:val="none" w:sz="0" w:space="0" w:color="auto"/>
            <w:right w:val="none" w:sz="0" w:space="0" w:color="auto"/>
          </w:divBdr>
        </w:div>
      </w:divsChild>
    </w:div>
    <w:div w:id="1607886495">
      <w:bodyDiv w:val="1"/>
      <w:marLeft w:val="0"/>
      <w:marRight w:val="0"/>
      <w:marTop w:val="0"/>
      <w:marBottom w:val="0"/>
      <w:divBdr>
        <w:top w:val="none" w:sz="0" w:space="0" w:color="auto"/>
        <w:left w:val="none" w:sz="0" w:space="0" w:color="auto"/>
        <w:bottom w:val="none" w:sz="0" w:space="0" w:color="auto"/>
        <w:right w:val="none" w:sz="0" w:space="0" w:color="auto"/>
      </w:divBdr>
    </w:div>
    <w:div w:id="1686323439">
      <w:bodyDiv w:val="1"/>
      <w:marLeft w:val="0"/>
      <w:marRight w:val="0"/>
      <w:marTop w:val="0"/>
      <w:marBottom w:val="0"/>
      <w:divBdr>
        <w:top w:val="none" w:sz="0" w:space="0" w:color="auto"/>
        <w:left w:val="none" w:sz="0" w:space="0" w:color="auto"/>
        <w:bottom w:val="none" w:sz="0" w:space="0" w:color="auto"/>
        <w:right w:val="none" w:sz="0" w:space="0" w:color="auto"/>
      </w:divBdr>
    </w:div>
    <w:div w:id="1789006349">
      <w:bodyDiv w:val="1"/>
      <w:marLeft w:val="0"/>
      <w:marRight w:val="0"/>
      <w:marTop w:val="0"/>
      <w:marBottom w:val="0"/>
      <w:divBdr>
        <w:top w:val="none" w:sz="0" w:space="0" w:color="auto"/>
        <w:left w:val="none" w:sz="0" w:space="0" w:color="auto"/>
        <w:bottom w:val="none" w:sz="0" w:space="0" w:color="auto"/>
        <w:right w:val="none" w:sz="0" w:space="0" w:color="auto"/>
      </w:divBdr>
    </w:div>
    <w:div w:id="2094889303">
      <w:bodyDiv w:val="1"/>
      <w:marLeft w:val="0"/>
      <w:marRight w:val="0"/>
      <w:marTop w:val="0"/>
      <w:marBottom w:val="0"/>
      <w:divBdr>
        <w:top w:val="none" w:sz="0" w:space="0" w:color="auto"/>
        <w:left w:val="none" w:sz="0" w:space="0" w:color="auto"/>
        <w:bottom w:val="none" w:sz="0" w:space="0" w:color="auto"/>
        <w:right w:val="none" w:sz="0" w:space="0" w:color="auto"/>
      </w:divBdr>
    </w:div>
    <w:div w:id="21248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mail:%20" TargetMode="External"/><Relationship Id="rId4" Type="http://schemas.microsoft.com/office/2007/relationships/stylesWithEffects" Target="stylesWithEffects.xml"/><Relationship Id="rId9" Type="http://schemas.openxmlformats.org/officeDocument/2006/relationships/hyperlink" Target="mailto:%20e-mail:%20gaz-nadzor@zsib.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C28F-4E6E-4AF6-A1C2-A94BC93B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2155</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Богдан Юрьевич</dc:creator>
  <cp:lastModifiedBy>Дерксен Ольга Дмитриевна</cp:lastModifiedBy>
  <cp:revision>9</cp:revision>
  <cp:lastPrinted>2019-12-19T04:26:00Z</cp:lastPrinted>
  <dcterms:created xsi:type="dcterms:W3CDTF">2018-03-12T04:15:00Z</dcterms:created>
  <dcterms:modified xsi:type="dcterms:W3CDTF">2020-12-15T07:02:00Z</dcterms:modified>
</cp:coreProperties>
</file>